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BB0A8" w14:textId="335CD7CB" w:rsidR="00FC0DD4" w:rsidRDefault="00FC0DD4" w:rsidP="007612C3">
      <w:pPr>
        <w:rPr>
          <w:b/>
          <w:bCs/>
          <w:sz w:val="24"/>
          <w:szCs w:val="24"/>
        </w:rPr>
      </w:pPr>
      <w:r>
        <w:rPr>
          <w:b/>
          <w:bCs/>
          <w:sz w:val="24"/>
          <w:szCs w:val="24"/>
        </w:rPr>
        <w:t>Date:</w:t>
      </w:r>
      <w:r w:rsidR="003A703B">
        <w:rPr>
          <w:b/>
          <w:bCs/>
          <w:sz w:val="24"/>
          <w:szCs w:val="24"/>
        </w:rPr>
        <w:t xml:space="preserve"> </w:t>
      </w:r>
      <w:r w:rsidR="00B42719">
        <w:rPr>
          <w:b/>
          <w:bCs/>
          <w:sz w:val="24"/>
          <w:szCs w:val="24"/>
        </w:rPr>
        <w:t xml:space="preserve"> </w:t>
      </w:r>
    </w:p>
    <w:p w14:paraId="7D4969B9" w14:textId="3B3AB0CE" w:rsidR="00FC0DD4" w:rsidRDefault="0094089D" w:rsidP="007612C3">
      <w:pPr>
        <w:rPr>
          <w:b/>
          <w:bCs/>
          <w:sz w:val="24"/>
          <w:szCs w:val="24"/>
        </w:rPr>
      </w:pPr>
      <w:r>
        <w:rPr>
          <w:b/>
          <w:bCs/>
          <w:sz w:val="24"/>
          <w:szCs w:val="24"/>
        </w:rPr>
        <w:t>CLIENT NAME</w:t>
      </w:r>
      <w:r w:rsidR="00FC0DD4">
        <w:rPr>
          <w:b/>
          <w:bCs/>
          <w:sz w:val="24"/>
          <w:szCs w:val="24"/>
        </w:rPr>
        <w:t xml:space="preserve">: </w:t>
      </w:r>
      <w:r w:rsidR="003A703B">
        <w:rPr>
          <w:b/>
          <w:bCs/>
          <w:sz w:val="24"/>
          <w:szCs w:val="24"/>
        </w:rPr>
        <w:t xml:space="preserve"> </w:t>
      </w:r>
    </w:p>
    <w:p w14:paraId="17C3E359" w14:textId="0469D738" w:rsidR="00727DE9" w:rsidRPr="00DD74F0" w:rsidRDefault="007612C3" w:rsidP="00DD74F0">
      <w:pPr>
        <w:spacing w:after="0"/>
        <w:rPr>
          <w:b/>
          <w:bCs/>
          <w:color w:val="0000FF"/>
          <w:sz w:val="24"/>
          <w:szCs w:val="24"/>
          <w:u w:val="single"/>
        </w:rPr>
      </w:pPr>
      <w:r w:rsidRPr="00DD74F0">
        <w:rPr>
          <w:b/>
          <w:bCs/>
          <w:color w:val="0000FF"/>
          <w:sz w:val="24"/>
          <w:szCs w:val="24"/>
          <w:u w:val="single"/>
        </w:rPr>
        <w:t>Student Loans</w:t>
      </w:r>
    </w:p>
    <w:p w14:paraId="1818F677" w14:textId="0CFB45D7" w:rsidR="007612C3" w:rsidRPr="00FC0DD4" w:rsidRDefault="007612C3" w:rsidP="00DD74F0">
      <w:pPr>
        <w:spacing w:after="0"/>
        <w:rPr>
          <w:b/>
          <w:bCs/>
          <w:sz w:val="24"/>
          <w:szCs w:val="24"/>
        </w:rPr>
      </w:pPr>
      <w:r w:rsidRPr="00FC0DD4">
        <w:rPr>
          <w:b/>
          <w:bCs/>
          <w:sz w:val="24"/>
          <w:szCs w:val="24"/>
        </w:rPr>
        <w:t>Loan Amount:</w:t>
      </w:r>
      <w:r w:rsidR="00B42719">
        <w:rPr>
          <w:b/>
          <w:bCs/>
          <w:sz w:val="24"/>
          <w:szCs w:val="24"/>
        </w:rPr>
        <w:t xml:space="preserve"> </w:t>
      </w:r>
    </w:p>
    <w:p w14:paraId="6F70EDBB" w14:textId="626CF986" w:rsidR="007612C3" w:rsidRPr="00FC0DD4" w:rsidRDefault="007612C3" w:rsidP="00DD74F0">
      <w:pPr>
        <w:spacing w:after="0"/>
        <w:rPr>
          <w:b/>
          <w:bCs/>
          <w:sz w:val="24"/>
          <w:szCs w:val="24"/>
        </w:rPr>
      </w:pPr>
      <w:r w:rsidRPr="00FC0DD4">
        <w:rPr>
          <w:b/>
          <w:bCs/>
          <w:sz w:val="24"/>
          <w:szCs w:val="24"/>
        </w:rPr>
        <w:t>Loan Type:</w:t>
      </w:r>
      <w:r w:rsidR="009077BE">
        <w:rPr>
          <w:b/>
          <w:bCs/>
          <w:sz w:val="24"/>
          <w:szCs w:val="24"/>
        </w:rPr>
        <w:t xml:space="preserve"> </w:t>
      </w:r>
    </w:p>
    <w:p w14:paraId="7E96ACEB" w14:textId="1F756361" w:rsidR="007612C3" w:rsidRPr="00FC0DD4" w:rsidRDefault="007612C3" w:rsidP="00DD74F0">
      <w:pPr>
        <w:spacing w:after="0"/>
        <w:rPr>
          <w:b/>
          <w:bCs/>
          <w:sz w:val="24"/>
          <w:szCs w:val="24"/>
        </w:rPr>
      </w:pPr>
      <w:r w:rsidRPr="00FC0DD4">
        <w:rPr>
          <w:b/>
          <w:bCs/>
          <w:sz w:val="24"/>
          <w:szCs w:val="24"/>
        </w:rPr>
        <w:t>Interest Rate:</w:t>
      </w:r>
      <w:r w:rsidR="00FC0DD4">
        <w:rPr>
          <w:b/>
          <w:bCs/>
          <w:sz w:val="24"/>
          <w:szCs w:val="24"/>
        </w:rPr>
        <w:t xml:space="preserve"> </w:t>
      </w:r>
    </w:p>
    <w:p w14:paraId="57A40924" w14:textId="10120C11" w:rsidR="007612C3" w:rsidRPr="00FC0DD4" w:rsidRDefault="007612C3" w:rsidP="00DD74F0">
      <w:pPr>
        <w:spacing w:after="0"/>
        <w:rPr>
          <w:b/>
          <w:bCs/>
          <w:sz w:val="24"/>
          <w:szCs w:val="24"/>
        </w:rPr>
      </w:pPr>
      <w:r w:rsidRPr="00FC0DD4">
        <w:rPr>
          <w:b/>
          <w:bCs/>
          <w:sz w:val="24"/>
          <w:szCs w:val="24"/>
        </w:rPr>
        <w:t>Loan Status</w:t>
      </w:r>
      <w:r w:rsidR="00FC0DD4">
        <w:rPr>
          <w:b/>
          <w:bCs/>
          <w:sz w:val="24"/>
          <w:szCs w:val="24"/>
        </w:rPr>
        <w:t>:</w:t>
      </w:r>
      <w:r w:rsidR="009077BE">
        <w:rPr>
          <w:b/>
          <w:bCs/>
          <w:sz w:val="24"/>
          <w:szCs w:val="24"/>
        </w:rPr>
        <w:t xml:space="preserve"> </w:t>
      </w:r>
    </w:p>
    <w:p w14:paraId="11918C2B" w14:textId="2C73B4DD" w:rsidR="007612C3" w:rsidRPr="00FC0DD4" w:rsidRDefault="007612C3" w:rsidP="00DD74F0">
      <w:pPr>
        <w:spacing w:after="0"/>
        <w:rPr>
          <w:b/>
          <w:bCs/>
          <w:sz w:val="24"/>
          <w:szCs w:val="24"/>
        </w:rPr>
      </w:pPr>
      <w:r w:rsidRPr="00FC0DD4">
        <w:rPr>
          <w:b/>
          <w:bCs/>
          <w:sz w:val="24"/>
          <w:szCs w:val="24"/>
        </w:rPr>
        <w:t>Servicer/Debt Co</w:t>
      </w:r>
      <w:r w:rsidR="00A34189">
        <w:rPr>
          <w:b/>
          <w:bCs/>
          <w:sz w:val="24"/>
          <w:szCs w:val="24"/>
        </w:rPr>
        <w:t xml:space="preserve">llector: </w:t>
      </w:r>
    </w:p>
    <w:p w14:paraId="4599B87C" w14:textId="555A7B26" w:rsidR="005328AA" w:rsidRPr="00FC0DD4" w:rsidRDefault="005328AA" w:rsidP="007612C3">
      <w:pPr>
        <w:spacing w:after="0"/>
        <w:rPr>
          <w:b/>
          <w:bCs/>
          <w:sz w:val="24"/>
          <w:szCs w:val="24"/>
        </w:rPr>
      </w:pPr>
      <w:r w:rsidRPr="00FC0DD4">
        <w:rPr>
          <w:b/>
          <w:bCs/>
          <w:sz w:val="24"/>
          <w:szCs w:val="24"/>
        </w:rPr>
        <w:t>Repayment Plan:</w:t>
      </w:r>
      <w:r w:rsidR="00B42719">
        <w:rPr>
          <w:b/>
          <w:bCs/>
          <w:sz w:val="24"/>
          <w:szCs w:val="24"/>
        </w:rPr>
        <w:t xml:space="preserve"> </w:t>
      </w:r>
    </w:p>
    <w:p w14:paraId="3AC6FD7D" w14:textId="2769C97B" w:rsidR="00D04681" w:rsidRPr="00FC0DD4" w:rsidRDefault="00D04681" w:rsidP="007612C3">
      <w:pPr>
        <w:spacing w:after="0"/>
        <w:rPr>
          <w:b/>
          <w:bCs/>
          <w:sz w:val="24"/>
          <w:szCs w:val="24"/>
        </w:rPr>
      </w:pPr>
      <w:r w:rsidRPr="00FC0DD4">
        <w:rPr>
          <w:b/>
          <w:bCs/>
          <w:sz w:val="24"/>
          <w:szCs w:val="24"/>
        </w:rPr>
        <w:t xml:space="preserve">EDCAP Financial Counselor: Nancy Nierman, Email: </w:t>
      </w:r>
      <w:hyperlink r:id="rId7" w:history="1">
        <w:r w:rsidRPr="00FC0DD4">
          <w:rPr>
            <w:rStyle w:val="Hyperlink"/>
            <w:b/>
            <w:bCs/>
            <w:sz w:val="24"/>
            <w:szCs w:val="24"/>
          </w:rPr>
          <w:t>nnierman@cssny.org</w:t>
        </w:r>
      </w:hyperlink>
      <w:r w:rsidRPr="00FC0DD4">
        <w:rPr>
          <w:b/>
          <w:bCs/>
          <w:sz w:val="24"/>
          <w:szCs w:val="24"/>
        </w:rPr>
        <w:t>, Ph. 917-748-7882</w:t>
      </w:r>
    </w:p>
    <w:p w14:paraId="63EAF9CA" w14:textId="2BC3C77C" w:rsidR="007612C3" w:rsidRPr="005735C8" w:rsidRDefault="00E50411" w:rsidP="005328AA">
      <w:pPr>
        <w:spacing w:after="0"/>
        <w:rPr>
          <w:sz w:val="24"/>
          <w:szCs w:val="24"/>
        </w:rPr>
      </w:pPr>
      <w:r>
        <w:rPr>
          <w:b/>
          <w:bCs/>
          <w:sz w:val="24"/>
          <w:szCs w:val="24"/>
        </w:rPr>
        <w:tab/>
      </w:r>
    </w:p>
    <w:p w14:paraId="26FF6AAF" w14:textId="6F22DA5D" w:rsidR="007612C3" w:rsidRPr="005735C8" w:rsidRDefault="0094089D" w:rsidP="007612C3">
      <w:pPr>
        <w:pStyle w:val="ListParagraph"/>
        <w:numPr>
          <w:ilvl w:val="0"/>
          <w:numId w:val="2"/>
        </w:numPr>
        <w:rPr>
          <w:b/>
          <w:bCs/>
          <w:sz w:val="24"/>
          <w:szCs w:val="24"/>
          <w:u w:val="single"/>
        </w:rPr>
      </w:pPr>
      <w:r>
        <w:rPr>
          <w:b/>
          <w:bCs/>
          <w:sz w:val="24"/>
          <w:szCs w:val="24"/>
          <w:u w:val="single"/>
        </w:rPr>
        <w:t xml:space="preserve"> </w:t>
      </w:r>
      <w:r w:rsidR="009077BE">
        <w:rPr>
          <w:b/>
          <w:bCs/>
          <w:sz w:val="24"/>
          <w:szCs w:val="24"/>
          <w:u w:val="single"/>
        </w:rPr>
        <w:t>Recap</w:t>
      </w:r>
      <w:r w:rsidR="00DD74F0">
        <w:rPr>
          <w:b/>
          <w:bCs/>
          <w:sz w:val="24"/>
          <w:szCs w:val="24"/>
          <w:u w:val="single"/>
        </w:rPr>
        <w:t xml:space="preserve"> session</w:t>
      </w:r>
      <w:r w:rsidR="00FB18E6">
        <w:rPr>
          <w:b/>
          <w:bCs/>
          <w:sz w:val="24"/>
          <w:szCs w:val="24"/>
          <w:u w:val="single"/>
        </w:rPr>
        <w:t xml:space="preserve"> (Add Date)</w:t>
      </w:r>
      <w:r w:rsidR="00DD74F0">
        <w:rPr>
          <w:b/>
          <w:bCs/>
          <w:sz w:val="24"/>
          <w:szCs w:val="24"/>
          <w:u w:val="single"/>
        </w:rPr>
        <w:t xml:space="preserve">: </w:t>
      </w:r>
    </w:p>
    <w:p w14:paraId="2703C973" w14:textId="7C40DABC" w:rsidR="001458A0" w:rsidRPr="0062242B" w:rsidRDefault="001458A0" w:rsidP="001458A0">
      <w:pPr>
        <w:pStyle w:val="ListParagraph"/>
        <w:numPr>
          <w:ilvl w:val="1"/>
          <w:numId w:val="2"/>
        </w:numPr>
        <w:jc w:val="both"/>
        <w:rPr>
          <w:rFonts w:cstheme="minorHAnsi"/>
          <w:color w:val="212529"/>
          <w:sz w:val="24"/>
          <w:szCs w:val="24"/>
        </w:rPr>
      </w:pPr>
      <w:bookmarkStart w:id="0" w:name="_Hlk88838640"/>
      <w:bookmarkStart w:id="1" w:name="_Hlk91093678"/>
      <w:r>
        <w:rPr>
          <w:sz w:val="24"/>
          <w:szCs w:val="24"/>
        </w:rPr>
        <w:t xml:space="preserve">Your loans are currently in the covid forbearance.  Interest rates are set to 0% and payments are suspended through </w:t>
      </w:r>
      <w:r w:rsidR="00E34641">
        <w:rPr>
          <w:sz w:val="24"/>
          <w:szCs w:val="24"/>
        </w:rPr>
        <w:t>8/31</w:t>
      </w:r>
      <w:r>
        <w:rPr>
          <w:sz w:val="24"/>
          <w:szCs w:val="24"/>
        </w:rPr>
        <w:t xml:space="preserve">/2022.  </w:t>
      </w:r>
    </w:p>
    <w:p w14:paraId="57540975" w14:textId="7EAFF549" w:rsidR="001458A0" w:rsidRDefault="001458A0" w:rsidP="001458A0">
      <w:pPr>
        <w:pStyle w:val="ListParagraph"/>
        <w:numPr>
          <w:ilvl w:val="2"/>
          <w:numId w:val="2"/>
        </w:numPr>
        <w:jc w:val="both"/>
        <w:rPr>
          <w:rFonts w:cstheme="minorHAnsi"/>
          <w:color w:val="212529"/>
          <w:sz w:val="24"/>
          <w:szCs w:val="24"/>
        </w:rPr>
      </w:pPr>
      <w:r>
        <w:rPr>
          <w:sz w:val="24"/>
          <w:szCs w:val="24"/>
        </w:rPr>
        <w:t xml:space="preserve">Payments may resume as early as </w:t>
      </w:r>
      <w:r w:rsidR="00E34641">
        <w:rPr>
          <w:sz w:val="24"/>
          <w:szCs w:val="24"/>
        </w:rPr>
        <w:t>September</w:t>
      </w:r>
      <w:r>
        <w:rPr>
          <w:sz w:val="24"/>
          <w:szCs w:val="24"/>
        </w:rPr>
        <w:t xml:space="preserve"> 2022.  Your loan servicer will send you a notice at least 21 days</w:t>
      </w:r>
      <w:r>
        <w:rPr>
          <w:rFonts w:cstheme="minorHAnsi"/>
          <w:color w:val="212529"/>
          <w:sz w:val="24"/>
          <w:szCs w:val="24"/>
        </w:rPr>
        <w:t xml:space="preserve"> in advance which will include the exact due date and amount owed.  </w:t>
      </w:r>
    </w:p>
    <w:p w14:paraId="4DFBAEAF" w14:textId="77777777" w:rsidR="001458A0" w:rsidRPr="00383387" w:rsidRDefault="001458A0" w:rsidP="001458A0">
      <w:pPr>
        <w:pStyle w:val="ListParagraph"/>
        <w:numPr>
          <w:ilvl w:val="2"/>
          <w:numId w:val="2"/>
        </w:numPr>
        <w:jc w:val="both"/>
        <w:rPr>
          <w:rFonts w:cstheme="minorHAnsi"/>
          <w:color w:val="212529"/>
          <w:sz w:val="24"/>
          <w:szCs w:val="24"/>
        </w:rPr>
      </w:pPr>
      <w:r>
        <w:rPr>
          <w:sz w:val="24"/>
          <w:szCs w:val="24"/>
        </w:rPr>
        <w:t xml:space="preserve">Be sure to update your contact information with your loan servicer and with </w:t>
      </w:r>
      <w:hyperlink r:id="rId8" w:history="1">
        <w:r w:rsidRPr="00383387">
          <w:rPr>
            <w:rStyle w:val="Hyperlink"/>
            <w:sz w:val="24"/>
            <w:szCs w:val="24"/>
          </w:rPr>
          <w:t>Federal Student Aid</w:t>
        </w:r>
      </w:hyperlink>
      <w:r>
        <w:rPr>
          <w:sz w:val="24"/>
          <w:szCs w:val="24"/>
        </w:rPr>
        <w:t xml:space="preserve"> and look out for important notifications over the coming months.  </w:t>
      </w:r>
    </w:p>
    <w:p w14:paraId="4B695FF7" w14:textId="77777777" w:rsidR="001458A0" w:rsidRPr="00383387" w:rsidRDefault="001458A0" w:rsidP="001458A0">
      <w:pPr>
        <w:pStyle w:val="ListParagraph"/>
        <w:numPr>
          <w:ilvl w:val="2"/>
          <w:numId w:val="2"/>
        </w:numPr>
        <w:jc w:val="both"/>
        <w:rPr>
          <w:rFonts w:cstheme="minorHAnsi"/>
          <w:color w:val="212529"/>
          <w:sz w:val="24"/>
          <w:szCs w:val="24"/>
        </w:rPr>
      </w:pPr>
      <w:r>
        <w:rPr>
          <w:sz w:val="24"/>
          <w:szCs w:val="24"/>
        </w:rPr>
        <w:t xml:space="preserve">Auto debit arrangements that were in place prior to the covid forbearance must be reset with your servicer.  Make sure they have the most recent bank account information if you want to continue making payments in this manner. </w:t>
      </w:r>
    </w:p>
    <w:p w14:paraId="24937241" w14:textId="77777777" w:rsidR="001458A0" w:rsidRPr="00963743" w:rsidRDefault="001458A0" w:rsidP="001458A0">
      <w:pPr>
        <w:pStyle w:val="ListParagraph"/>
        <w:numPr>
          <w:ilvl w:val="2"/>
          <w:numId w:val="2"/>
        </w:numPr>
        <w:jc w:val="both"/>
        <w:rPr>
          <w:rFonts w:cstheme="minorHAnsi"/>
          <w:color w:val="212529"/>
          <w:sz w:val="24"/>
          <w:szCs w:val="24"/>
        </w:rPr>
      </w:pPr>
      <w:r w:rsidRPr="004B445F">
        <w:rPr>
          <w:sz w:val="24"/>
          <w:szCs w:val="24"/>
        </w:rPr>
        <w:t>If the required amount on the bill is more than you can afford, don’t panic.  Contact EDCAP and we will help you search for a cheaper alternative.</w:t>
      </w:r>
    </w:p>
    <w:p w14:paraId="4792F431" w14:textId="77777777" w:rsidR="001458A0" w:rsidRPr="004B445F" w:rsidRDefault="001458A0" w:rsidP="001458A0">
      <w:pPr>
        <w:pStyle w:val="ListParagraph"/>
        <w:ind w:left="2160"/>
        <w:jc w:val="both"/>
        <w:rPr>
          <w:rFonts w:cstheme="minorHAnsi"/>
          <w:color w:val="212529"/>
          <w:sz w:val="24"/>
          <w:szCs w:val="24"/>
        </w:rPr>
      </w:pPr>
    </w:p>
    <w:p w14:paraId="6BAEC7B3" w14:textId="77777777" w:rsidR="001458A0" w:rsidRDefault="001458A0" w:rsidP="001458A0">
      <w:pPr>
        <w:pStyle w:val="ListParagraph"/>
        <w:numPr>
          <w:ilvl w:val="1"/>
          <w:numId w:val="2"/>
        </w:numPr>
        <w:jc w:val="both"/>
        <w:rPr>
          <w:rFonts w:cstheme="minorHAnsi"/>
          <w:color w:val="212529"/>
          <w:sz w:val="24"/>
          <w:szCs w:val="24"/>
        </w:rPr>
      </w:pPr>
      <w:bookmarkStart w:id="2" w:name="_Hlk88838696"/>
      <w:bookmarkEnd w:id="0"/>
      <w:r>
        <w:rPr>
          <w:rFonts w:cstheme="minorHAnsi"/>
          <w:color w:val="212529"/>
          <w:sz w:val="24"/>
          <w:szCs w:val="24"/>
        </w:rPr>
        <w:t>Repayment Plans: There are two basic ways to repay federal student loans:</w:t>
      </w:r>
    </w:p>
    <w:p w14:paraId="2B301E4E" w14:textId="77777777" w:rsidR="001458A0" w:rsidRDefault="001458A0" w:rsidP="001458A0">
      <w:pPr>
        <w:pStyle w:val="ListParagraph"/>
        <w:numPr>
          <w:ilvl w:val="2"/>
          <w:numId w:val="2"/>
        </w:numPr>
        <w:jc w:val="both"/>
        <w:rPr>
          <w:rFonts w:cstheme="minorHAnsi"/>
          <w:color w:val="212529"/>
          <w:sz w:val="24"/>
          <w:szCs w:val="24"/>
        </w:rPr>
      </w:pPr>
      <w:r>
        <w:rPr>
          <w:rFonts w:cstheme="minorHAnsi"/>
          <w:color w:val="212529"/>
          <w:sz w:val="24"/>
          <w:szCs w:val="24"/>
        </w:rPr>
        <w:t>Standard/Traditional Plans: Payments are based on the loan balance, interest rate and payback period.</w:t>
      </w:r>
    </w:p>
    <w:p w14:paraId="70076EF9" w14:textId="77777777" w:rsidR="001458A0" w:rsidRDefault="001458A0" w:rsidP="001458A0">
      <w:pPr>
        <w:pStyle w:val="ListParagraph"/>
        <w:numPr>
          <w:ilvl w:val="2"/>
          <w:numId w:val="2"/>
        </w:numPr>
        <w:jc w:val="both"/>
        <w:rPr>
          <w:rFonts w:cstheme="minorHAnsi"/>
          <w:color w:val="212529"/>
          <w:sz w:val="24"/>
          <w:szCs w:val="24"/>
        </w:rPr>
      </w:pPr>
      <w:r>
        <w:rPr>
          <w:rFonts w:cstheme="minorHAnsi"/>
          <w:color w:val="212529"/>
          <w:sz w:val="24"/>
          <w:szCs w:val="24"/>
        </w:rPr>
        <w:t>Income-Driven-Repayment (IDR) Plans: Payments are based on Adjusted Gross Income (AGI), family size and tax-filing status.</w:t>
      </w:r>
    </w:p>
    <w:p w14:paraId="68394216" w14:textId="77777777" w:rsidR="001458A0" w:rsidRDefault="001458A0" w:rsidP="001458A0">
      <w:pPr>
        <w:pStyle w:val="ListParagraph"/>
        <w:numPr>
          <w:ilvl w:val="3"/>
          <w:numId w:val="2"/>
        </w:numPr>
        <w:jc w:val="both"/>
        <w:rPr>
          <w:rFonts w:cstheme="minorHAnsi"/>
          <w:color w:val="212529"/>
          <w:sz w:val="24"/>
          <w:szCs w:val="24"/>
        </w:rPr>
      </w:pPr>
      <w:r>
        <w:rPr>
          <w:rFonts w:cstheme="minorHAnsi"/>
          <w:color w:val="212529"/>
          <w:sz w:val="24"/>
          <w:szCs w:val="24"/>
        </w:rPr>
        <w:t xml:space="preserve">There are four IDR plans; Revised-Pay-As-You-Earn (REPAYE), Pay-As-You-Earn (PAYE), Income-Based-Repayment (IBR) and Income-Contingent-Repayment (ICR). </w:t>
      </w:r>
    </w:p>
    <w:p w14:paraId="77A93B1A" w14:textId="77777777" w:rsidR="001458A0" w:rsidRDefault="001458A0" w:rsidP="001458A0">
      <w:pPr>
        <w:pStyle w:val="ListParagraph"/>
        <w:numPr>
          <w:ilvl w:val="3"/>
          <w:numId w:val="2"/>
        </w:numPr>
        <w:jc w:val="both"/>
        <w:rPr>
          <w:rFonts w:cstheme="minorHAnsi"/>
          <w:b/>
          <w:bCs/>
          <w:color w:val="212529"/>
          <w:sz w:val="24"/>
          <w:szCs w:val="24"/>
        </w:rPr>
      </w:pPr>
      <w:r>
        <w:rPr>
          <w:rFonts w:cstheme="minorHAnsi"/>
          <w:color w:val="212529"/>
          <w:sz w:val="24"/>
          <w:szCs w:val="24"/>
        </w:rPr>
        <w:lastRenderedPageBreak/>
        <w:t>All plans must be recertified annually.  Your loan servicer will notify you several months in advance of the due date</w:t>
      </w:r>
      <w:r w:rsidRPr="00E16A45">
        <w:rPr>
          <w:rFonts w:cstheme="minorHAnsi"/>
          <w:b/>
          <w:bCs/>
          <w:color w:val="212529"/>
          <w:sz w:val="24"/>
          <w:szCs w:val="24"/>
        </w:rPr>
        <w:t>.  It’s important not to miss the recertification deadline!</w:t>
      </w:r>
    </w:p>
    <w:p w14:paraId="324D50FA" w14:textId="77777777" w:rsidR="001458A0" w:rsidRPr="007A3C01" w:rsidRDefault="001458A0" w:rsidP="001458A0">
      <w:pPr>
        <w:pStyle w:val="ListParagraph"/>
        <w:numPr>
          <w:ilvl w:val="3"/>
          <w:numId w:val="2"/>
        </w:numPr>
        <w:jc w:val="both"/>
        <w:rPr>
          <w:rFonts w:cstheme="minorHAnsi"/>
          <w:color w:val="212529"/>
          <w:sz w:val="24"/>
          <w:szCs w:val="24"/>
        </w:rPr>
      </w:pPr>
      <w:r w:rsidRPr="007A3C01">
        <w:rPr>
          <w:rFonts w:cstheme="minorHAnsi"/>
          <w:color w:val="212529"/>
          <w:sz w:val="24"/>
          <w:szCs w:val="24"/>
        </w:rPr>
        <w:t>Payments are based on the Adjusted Gross Income (AGI) from your last filed tax return:</w:t>
      </w:r>
    </w:p>
    <w:p w14:paraId="5B285C76" w14:textId="77777777" w:rsidR="001458A0" w:rsidRPr="007A3C01" w:rsidRDefault="001458A0" w:rsidP="001458A0">
      <w:pPr>
        <w:pStyle w:val="ListParagraph"/>
        <w:numPr>
          <w:ilvl w:val="4"/>
          <w:numId w:val="2"/>
        </w:numPr>
        <w:jc w:val="both"/>
        <w:rPr>
          <w:rFonts w:cstheme="minorHAnsi"/>
          <w:color w:val="212529"/>
          <w:sz w:val="24"/>
          <w:szCs w:val="24"/>
        </w:rPr>
      </w:pPr>
      <w:r w:rsidRPr="007A3C01">
        <w:rPr>
          <w:rFonts w:cstheme="minorHAnsi"/>
          <w:color w:val="212529"/>
          <w:sz w:val="24"/>
          <w:szCs w:val="24"/>
        </w:rPr>
        <w:t>If at the time you enroll or recertify, your income is less than the AGI from your last tax return, you can send proof of your current income and the payment will be based on that lower amount.</w:t>
      </w:r>
    </w:p>
    <w:p w14:paraId="36700C4F" w14:textId="77777777" w:rsidR="001458A0" w:rsidRPr="007A3C01" w:rsidRDefault="001458A0" w:rsidP="001458A0">
      <w:pPr>
        <w:pStyle w:val="ListParagraph"/>
        <w:numPr>
          <w:ilvl w:val="4"/>
          <w:numId w:val="2"/>
        </w:numPr>
        <w:jc w:val="both"/>
        <w:rPr>
          <w:rFonts w:cstheme="minorHAnsi"/>
          <w:color w:val="212529"/>
          <w:sz w:val="24"/>
          <w:szCs w:val="24"/>
        </w:rPr>
      </w:pPr>
      <w:r w:rsidRPr="007A3C01">
        <w:rPr>
          <w:rFonts w:cstheme="minorHAnsi"/>
          <w:color w:val="212529"/>
          <w:sz w:val="24"/>
          <w:szCs w:val="24"/>
        </w:rPr>
        <w:t>If in between recertification dates, your income declines, you can have the plan recalculated and the payments will be adjusted immediately.</w:t>
      </w:r>
    </w:p>
    <w:p w14:paraId="03950CB1" w14:textId="77777777" w:rsidR="001458A0" w:rsidRPr="007A3C01" w:rsidRDefault="001458A0" w:rsidP="001458A0">
      <w:pPr>
        <w:pStyle w:val="ListParagraph"/>
        <w:numPr>
          <w:ilvl w:val="4"/>
          <w:numId w:val="2"/>
        </w:numPr>
        <w:jc w:val="both"/>
        <w:rPr>
          <w:rFonts w:cstheme="minorHAnsi"/>
          <w:color w:val="212529"/>
          <w:sz w:val="24"/>
          <w:szCs w:val="24"/>
        </w:rPr>
      </w:pPr>
      <w:r w:rsidRPr="007A3C01">
        <w:rPr>
          <w:rFonts w:cstheme="minorHAnsi"/>
          <w:color w:val="212529"/>
          <w:sz w:val="24"/>
          <w:szCs w:val="24"/>
        </w:rPr>
        <w:t>If in between recertification dates, your income increases, you do not have to report that until your next recertification date.</w:t>
      </w:r>
    </w:p>
    <w:p w14:paraId="08149B8D" w14:textId="77777777" w:rsidR="001458A0" w:rsidRDefault="001458A0" w:rsidP="001458A0">
      <w:pPr>
        <w:pStyle w:val="ListParagraph"/>
        <w:numPr>
          <w:ilvl w:val="3"/>
          <w:numId w:val="2"/>
        </w:numPr>
        <w:jc w:val="both"/>
        <w:rPr>
          <w:rFonts w:cstheme="minorHAnsi"/>
          <w:b/>
          <w:bCs/>
          <w:color w:val="212529"/>
          <w:sz w:val="24"/>
          <w:szCs w:val="24"/>
        </w:rPr>
      </w:pPr>
      <w:r w:rsidRPr="007A3C01">
        <w:rPr>
          <w:rFonts w:cstheme="minorHAnsi"/>
          <w:b/>
          <w:bCs/>
          <w:color w:val="212529"/>
          <w:sz w:val="24"/>
          <w:szCs w:val="24"/>
        </w:rPr>
        <w:t>In summary: If your income changes, you can have your payment recalculated at any time. You never have to make a payment that is based on an income you no longer</w:t>
      </w:r>
      <w:r>
        <w:rPr>
          <w:rFonts w:cstheme="minorHAnsi"/>
          <w:b/>
          <w:bCs/>
          <w:color w:val="212529"/>
          <w:sz w:val="24"/>
          <w:szCs w:val="24"/>
        </w:rPr>
        <w:t xml:space="preserve"> have.</w:t>
      </w:r>
    </w:p>
    <w:p w14:paraId="19A01B02" w14:textId="77777777" w:rsidR="001458A0" w:rsidRPr="008B7D13" w:rsidRDefault="001458A0" w:rsidP="001458A0">
      <w:pPr>
        <w:pStyle w:val="ListParagraph"/>
        <w:numPr>
          <w:ilvl w:val="3"/>
          <w:numId w:val="2"/>
        </w:numPr>
        <w:jc w:val="both"/>
        <w:rPr>
          <w:rFonts w:cstheme="minorHAnsi"/>
          <w:b/>
          <w:bCs/>
          <w:color w:val="212529"/>
          <w:sz w:val="24"/>
          <w:szCs w:val="24"/>
        </w:rPr>
      </w:pPr>
      <w:r>
        <w:rPr>
          <w:rFonts w:cstheme="minorHAnsi"/>
          <w:color w:val="212529"/>
          <w:sz w:val="24"/>
          <w:szCs w:val="24"/>
        </w:rPr>
        <w:t>All plans offer forgiveness if you make qualifying payments for 20-25 years.  This includes $0 repayment plans, but you must be “In-Repayment” to qualify.  Most periods spent in deferment or non-covid related forbearance will not count.  There is no employment requirement for IDR forgiveness.</w:t>
      </w:r>
    </w:p>
    <w:bookmarkEnd w:id="2"/>
    <w:p w14:paraId="2E38EAB4" w14:textId="3E07D688" w:rsidR="001458A0" w:rsidRPr="00C03526" w:rsidRDefault="001458A0" w:rsidP="001458A0">
      <w:pPr>
        <w:pStyle w:val="ListParagraph"/>
        <w:numPr>
          <w:ilvl w:val="3"/>
          <w:numId w:val="2"/>
        </w:numPr>
        <w:jc w:val="both"/>
        <w:rPr>
          <w:rFonts w:cstheme="minorHAnsi"/>
          <w:b/>
          <w:bCs/>
          <w:color w:val="212529"/>
          <w:sz w:val="24"/>
          <w:szCs w:val="24"/>
        </w:rPr>
      </w:pPr>
      <w:r>
        <w:rPr>
          <w:rFonts w:cstheme="minorHAnsi"/>
          <w:color w:val="212529"/>
          <w:sz w:val="24"/>
          <w:szCs w:val="24"/>
        </w:rPr>
        <w:t>All plans qualify for Public Service Loan Forgiveness (PSLF). You must be “In-Repayment” to qualify. Periods spent in deferment or non-covid related forbearance will not count.   There is an employment requirement for PSLF.</w:t>
      </w:r>
    </w:p>
    <w:p w14:paraId="4DBDE517" w14:textId="1AC2EA64" w:rsidR="00C03526" w:rsidRPr="00376FC4" w:rsidRDefault="00C03526" w:rsidP="001458A0">
      <w:pPr>
        <w:pStyle w:val="ListParagraph"/>
        <w:numPr>
          <w:ilvl w:val="3"/>
          <w:numId w:val="2"/>
        </w:numPr>
        <w:jc w:val="both"/>
        <w:rPr>
          <w:rFonts w:cstheme="minorHAnsi"/>
          <w:b/>
          <w:bCs/>
          <w:color w:val="212529"/>
          <w:sz w:val="24"/>
          <w:szCs w:val="24"/>
        </w:rPr>
      </w:pPr>
      <w:r>
        <w:rPr>
          <w:rFonts w:cstheme="minorHAnsi"/>
          <w:color w:val="212529"/>
          <w:sz w:val="24"/>
          <w:szCs w:val="24"/>
        </w:rPr>
        <w:t>If you are married and file taxes jointly, payments will be based on the combined income of you and your spouse in all repayment plans.  If you file taxes married but separate, payments in PAYE, IBR and ICR will be based on your income alone.  However, payments in REPAYE will be based on the combined income of you and your spouse regardless of how you file taxes.</w:t>
      </w:r>
    </w:p>
    <w:p w14:paraId="5890C019" w14:textId="65D86A19" w:rsidR="001458A0" w:rsidRPr="00C03526" w:rsidRDefault="001458A0" w:rsidP="001458A0">
      <w:pPr>
        <w:pStyle w:val="ListParagraph"/>
        <w:numPr>
          <w:ilvl w:val="3"/>
          <w:numId w:val="2"/>
        </w:numPr>
        <w:jc w:val="both"/>
        <w:rPr>
          <w:rFonts w:cstheme="minorHAnsi"/>
          <w:b/>
          <w:bCs/>
          <w:color w:val="212529"/>
          <w:sz w:val="24"/>
          <w:szCs w:val="24"/>
        </w:rPr>
      </w:pPr>
      <w:r>
        <w:rPr>
          <w:rFonts w:cstheme="minorHAnsi"/>
          <w:color w:val="212529"/>
          <w:sz w:val="24"/>
          <w:szCs w:val="24"/>
        </w:rPr>
        <w:t xml:space="preserve">IBR Plan: </w:t>
      </w:r>
      <w:r w:rsidRPr="0024772B">
        <w:rPr>
          <w:rFonts w:cstheme="minorHAnsi"/>
          <w:color w:val="212529"/>
          <w:sz w:val="24"/>
          <w:szCs w:val="24"/>
        </w:rPr>
        <w:t xml:space="preserve">This plan has two payment structures; 1) If ALL of your loans were disbursed after July 1, 2014, payment will be 10% of discretionary income (discretionary income is based on adjusted </w:t>
      </w:r>
      <w:r w:rsidRPr="0024772B">
        <w:rPr>
          <w:rFonts w:cstheme="minorHAnsi"/>
          <w:color w:val="212529"/>
          <w:sz w:val="24"/>
          <w:szCs w:val="24"/>
        </w:rPr>
        <w:lastRenderedPageBreak/>
        <w:t xml:space="preserve">gross income or AGI), 2) If ANY of your loans were disbursed before July 1, 2014, payment will be 15% of discretionary income.  </w:t>
      </w:r>
    </w:p>
    <w:p w14:paraId="3A6B1D3F" w14:textId="77777777" w:rsidR="00C03526" w:rsidRPr="00866433" w:rsidRDefault="00C03526" w:rsidP="00C03526">
      <w:pPr>
        <w:pStyle w:val="ListParagraph"/>
        <w:ind w:left="2880"/>
        <w:jc w:val="both"/>
        <w:rPr>
          <w:rFonts w:cstheme="minorHAnsi"/>
          <w:b/>
          <w:bCs/>
          <w:color w:val="212529"/>
          <w:sz w:val="24"/>
          <w:szCs w:val="24"/>
        </w:rPr>
      </w:pPr>
    </w:p>
    <w:p w14:paraId="44266E93" w14:textId="77777777" w:rsidR="001458A0" w:rsidRPr="00866433" w:rsidRDefault="001458A0" w:rsidP="001458A0">
      <w:pPr>
        <w:pStyle w:val="ListParagraph"/>
        <w:numPr>
          <w:ilvl w:val="1"/>
          <w:numId w:val="2"/>
        </w:numPr>
        <w:jc w:val="both"/>
        <w:rPr>
          <w:rFonts w:cstheme="minorHAnsi"/>
          <w:b/>
          <w:bCs/>
          <w:color w:val="212529"/>
          <w:sz w:val="24"/>
          <w:szCs w:val="24"/>
        </w:rPr>
      </w:pPr>
      <w:r>
        <w:rPr>
          <w:rFonts w:cstheme="minorHAnsi"/>
          <w:color w:val="212529"/>
          <w:sz w:val="24"/>
          <w:szCs w:val="24"/>
        </w:rPr>
        <w:t xml:space="preserve">Public Service Loan Forgiveness (PSLF): Forgives loan balances for borrowers working for eligible employers after making 120 qualifying monthly payments (10 Years). </w:t>
      </w:r>
    </w:p>
    <w:p w14:paraId="116CE209" w14:textId="77777777" w:rsidR="001458A0" w:rsidRPr="00CB4BA8" w:rsidRDefault="001458A0" w:rsidP="001458A0">
      <w:pPr>
        <w:pStyle w:val="ListParagraph"/>
        <w:numPr>
          <w:ilvl w:val="2"/>
          <w:numId w:val="2"/>
        </w:numPr>
        <w:jc w:val="both"/>
        <w:rPr>
          <w:rFonts w:cstheme="minorHAnsi"/>
          <w:b/>
          <w:bCs/>
          <w:color w:val="212529"/>
          <w:sz w:val="24"/>
          <w:szCs w:val="24"/>
        </w:rPr>
      </w:pPr>
      <w:r>
        <w:rPr>
          <w:rFonts w:cstheme="minorHAnsi"/>
          <w:color w:val="212529"/>
          <w:sz w:val="24"/>
          <w:szCs w:val="24"/>
        </w:rPr>
        <w:t xml:space="preserve">You don’t enroll in the PSLF program. You accumulate qualifying payments.  </w:t>
      </w:r>
    </w:p>
    <w:p w14:paraId="19282493" w14:textId="77777777" w:rsidR="001458A0" w:rsidRPr="00CB4BA8" w:rsidRDefault="001458A0" w:rsidP="001458A0">
      <w:pPr>
        <w:pStyle w:val="ListParagraph"/>
        <w:numPr>
          <w:ilvl w:val="2"/>
          <w:numId w:val="2"/>
        </w:numPr>
        <w:jc w:val="both"/>
        <w:rPr>
          <w:rFonts w:cstheme="minorHAnsi"/>
          <w:b/>
          <w:bCs/>
          <w:color w:val="212529"/>
          <w:sz w:val="24"/>
          <w:szCs w:val="24"/>
        </w:rPr>
      </w:pPr>
      <w:r>
        <w:rPr>
          <w:rFonts w:cstheme="minorHAnsi"/>
          <w:color w:val="212529"/>
          <w:sz w:val="24"/>
          <w:szCs w:val="24"/>
        </w:rPr>
        <w:t>Qualifying payments are:</w:t>
      </w:r>
    </w:p>
    <w:p w14:paraId="340FE2CF" w14:textId="77777777" w:rsidR="001458A0" w:rsidRPr="00CB4BA8" w:rsidRDefault="001458A0" w:rsidP="001458A0">
      <w:pPr>
        <w:pStyle w:val="ListParagraph"/>
        <w:numPr>
          <w:ilvl w:val="3"/>
          <w:numId w:val="2"/>
        </w:numPr>
        <w:jc w:val="both"/>
        <w:rPr>
          <w:rFonts w:cstheme="minorHAnsi"/>
          <w:b/>
          <w:bCs/>
          <w:color w:val="212529"/>
          <w:sz w:val="24"/>
          <w:szCs w:val="24"/>
        </w:rPr>
      </w:pPr>
      <w:r>
        <w:rPr>
          <w:rFonts w:cstheme="minorHAnsi"/>
          <w:color w:val="212529"/>
          <w:sz w:val="24"/>
          <w:szCs w:val="24"/>
        </w:rPr>
        <w:t>Made on or after October 1, 2007</w:t>
      </w:r>
    </w:p>
    <w:p w14:paraId="607CFD02" w14:textId="77777777" w:rsidR="001458A0" w:rsidRPr="00CB4BA8" w:rsidRDefault="001458A0" w:rsidP="001458A0">
      <w:pPr>
        <w:pStyle w:val="ListParagraph"/>
        <w:numPr>
          <w:ilvl w:val="3"/>
          <w:numId w:val="2"/>
        </w:numPr>
        <w:jc w:val="both"/>
        <w:rPr>
          <w:rFonts w:cstheme="minorHAnsi"/>
          <w:b/>
          <w:bCs/>
          <w:color w:val="212529"/>
          <w:sz w:val="24"/>
          <w:szCs w:val="24"/>
        </w:rPr>
      </w:pPr>
      <w:r>
        <w:rPr>
          <w:rFonts w:cstheme="minorHAnsi"/>
          <w:color w:val="212529"/>
          <w:sz w:val="24"/>
          <w:szCs w:val="24"/>
        </w:rPr>
        <w:t>You must have Direct Loans</w:t>
      </w:r>
    </w:p>
    <w:p w14:paraId="36031F74" w14:textId="77777777" w:rsidR="001458A0" w:rsidRPr="00CB4BA8" w:rsidRDefault="001458A0" w:rsidP="001458A0">
      <w:pPr>
        <w:pStyle w:val="ListParagraph"/>
        <w:numPr>
          <w:ilvl w:val="3"/>
          <w:numId w:val="2"/>
        </w:numPr>
        <w:jc w:val="both"/>
        <w:rPr>
          <w:rFonts w:cstheme="minorHAnsi"/>
          <w:b/>
          <w:bCs/>
          <w:color w:val="212529"/>
          <w:sz w:val="24"/>
          <w:szCs w:val="24"/>
        </w:rPr>
      </w:pPr>
      <w:r>
        <w:rPr>
          <w:rFonts w:cstheme="minorHAnsi"/>
          <w:color w:val="212529"/>
          <w:sz w:val="24"/>
          <w:szCs w:val="24"/>
        </w:rPr>
        <w:t>You must be in an IDR plan (payments in the Standard 10-Year fixed plan may qualify but you must switch to an IDR plan at some point and remain in that plan for most of the life of the loan)</w:t>
      </w:r>
    </w:p>
    <w:p w14:paraId="30DA63EF" w14:textId="63AEC7DA" w:rsidR="001458A0" w:rsidRPr="00CB4BA8" w:rsidRDefault="001458A0" w:rsidP="001458A0">
      <w:pPr>
        <w:pStyle w:val="ListParagraph"/>
        <w:numPr>
          <w:ilvl w:val="3"/>
          <w:numId w:val="2"/>
        </w:numPr>
        <w:jc w:val="both"/>
        <w:rPr>
          <w:rFonts w:cstheme="minorHAnsi"/>
          <w:b/>
          <w:bCs/>
          <w:color w:val="212529"/>
          <w:sz w:val="24"/>
          <w:szCs w:val="24"/>
        </w:rPr>
      </w:pPr>
      <w:r>
        <w:rPr>
          <w:rFonts w:cstheme="minorHAnsi"/>
          <w:color w:val="212529"/>
          <w:sz w:val="24"/>
          <w:szCs w:val="24"/>
        </w:rPr>
        <w:t>Your loan status must be “In-Repayment” Periods spent in deferment or non-covid related forbearance will not count.  Exception: suspended payments during the Covid Forbearance from 3/13/2020-</w:t>
      </w:r>
      <w:r w:rsidR="00E34641">
        <w:rPr>
          <w:rFonts w:cstheme="minorHAnsi"/>
          <w:color w:val="212529"/>
          <w:sz w:val="24"/>
          <w:szCs w:val="24"/>
        </w:rPr>
        <w:t>8/31</w:t>
      </w:r>
      <w:r>
        <w:rPr>
          <w:rFonts w:cstheme="minorHAnsi"/>
          <w:color w:val="212529"/>
          <w:sz w:val="24"/>
          <w:szCs w:val="24"/>
        </w:rPr>
        <w:t>/2022 will count of all other program requirements are met.</w:t>
      </w:r>
    </w:p>
    <w:p w14:paraId="4538838B" w14:textId="77777777" w:rsidR="001458A0" w:rsidRPr="00CB4BA8" w:rsidRDefault="001458A0" w:rsidP="001458A0">
      <w:pPr>
        <w:pStyle w:val="ListParagraph"/>
        <w:numPr>
          <w:ilvl w:val="3"/>
          <w:numId w:val="2"/>
        </w:numPr>
        <w:jc w:val="both"/>
        <w:rPr>
          <w:rFonts w:cstheme="minorHAnsi"/>
          <w:b/>
          <w:bCs/>
          <w:color w:val="212529"/>
          <w:sz w:val="24"/>
          <w:szCs w:val="24"/>
        </w:rPr>
      </w:pPr>
      <w:r>
        <w:rPr>
          <w:rFonts w:cstheme="minorHAnsi"/>
          <w:color w:val="212529"/>
          <w:sz w:val="24"/>
          <w:szCs w:val="24"/>
        </w:rPr>
        <w:t>You must work full time for a qualifying employer.  Qualifying employers are:</w:t>
      </w:r>
    </w:p>
    <w:p w14:paraId="241B3C6C" w14:textId="77777777" w:rsidR="001458A0" w:rsidRPr="00CB4BA8" w:rsidRDefault="001458A0" w:rsidP="001458A0">
      <w:pPr>
        <w:pStyle w:val="ListParagraph"/>
        <w:numPr>
          <w:ilvl w:val="4"/>
          <w:numId w:val="2"/>
        </w:numPr>
        <w:jc w:val="both"/>
        <w:rPr>
          <w:rFonts w:cstheme="minorHAnsi"/>
          <w:b/>
          <w:bCs/>
          <w:color w:val="212529"/>
          <w:sz w:val="24"/>
          <w:szCs w:val="24"/>
        </w:rPr>
      </w:pPr>
      <w:r>
        <w:rPr>
          <w:rFonts w:cstheme="minorHAnsi"/>
          <w:color w:val="212529"/>
          <w:sz w:val="24"/>
          <w:szCs w:val="24"/>
        </w:rPr>
        <w:t>501(c)3 non-profits</w:t>
      </w:r>
    </w:p>
    <w:p w14:paraId="43E9B54E" w14:textId="77777777" w:rsidR="001458A0" w:rsidRPr="00EB4E63" w:rsidRDefault="001458A0" w:rsidP="001458A0">
      <w:pPr>
        <w:pStyle w:val="ListParagraph"/>
        <w:numPr>
          <w:ilvl w:val="4"/>
          <w:numId w:val="2"/>
        </w:numPr>
        <w:jc w:val="both"/>
        <w:rPr>
          <w:rFonts w:cstheme="minorHAnsi"/>
          <w:b/>
          <w:bCs/>
          <w:color w:val="212529"/>
          <w:sz w:val="24"/>
          <w:szCs w:val="24"/>
        </w:rPr>
      </w:pPr>
      <w:r>
        <w:rPr>
          <w:rFonts w:cstheme="minorHAnsi"/>
          <w:color w:val="212529"/>
          <w:sz w:val="24"/>
          <w:szCs w:val="24"/>
        </w:rPr>
        <w:t>Certain non-profits that are not 501(c)3s but which provide public services (i.e., education, legal, healthcare, etc.)</w:t>
      </w:r>
    </w:p>
    <w:p w14:paraId="77DD4268" w14:textId="77777777" w:rsidR="001458A0" w:rsidRPr="00EB4E63" w:rsidRDefault="001458A0" w:rsidP="001458A0">
      <w:pPr>
        <w:pStyle w:val="ListParagraph"/>
        <w:numPr>
          <w:ilvl w:val="4"/>
          <w:numId w:val="2"/>
        </w:numPr>
        <w:jc w:val="both"/>
        <w:rPr>
          <w:rFonts w:cstheme="minorHAnsi"/>
          <w:b/>
          <w:bCs/>
          <w:color w:val="212529"/>
          <w:sz w:val="24"/>
          <w:szCs w:val="24"/>
        </w:rPr>
      </w:pPr>
      <w:r>
        <w:rPr>
          <w:rFonts w:cstheme="minorHAnsi"/>
          <w:color w:val="212529"/>
          <w:sz w:val="24"/>
          <w:szCs w:val="24"/>
        </w:rPr>
        <w:t>Governments: Federal, State, Local, Tribal</w:t>
      </w:r>
    </w:p>
    <w:p w14:paraId="7E497E26" w14:textId="77777777" w:rsidR="001458A0" w:rsidRPr="00EB4E63" w:rsidRDefault="001458A0" w:rsidP="001458A0">
      <w:pPr>
        <w:pStyle w:val="ListParagraph"/>
        <w:numPr>
          <w:ilvl w:val="4"/>
          <w:numId w:val="2"/>
        </w:numPr>
        <w:jc w:val="both"/>
        <w:rPr>
          <w:rFonts w:cstheme="minorHAnsi"/>
          <w:b/>
          <w:bCs/>
          <w:color w:val="212529"/>
          <w:sz w:val="24"/>
          <w:szCs w:val="24"/>
        </w:rPr>
      </w:pPr>
      <w:r>
        <w:rPr>
          <w:rFonts w:cstheme="minorHAnsi"/>
          <w:color w:val="212529"/>
          <w:sz w:val="24"/>
          <w:szCs w:val="24"/>
        </w:rPr>
        <w:t>AmeriCorps or Peace Corps</w:t>
      </w:r>
    </w:p>
    <w:p w14:paraId="64796712" w14:textId="77777777" w:rsidR="001458A0" w:rsidRPr="00EB4E63" w:rsidRDefault="001458A0" w:rsidP="001458A0">
      <w:pPr>
        <w:pStyle w:val="ListParagraph"/>
        <w:numPr>
          <w:ilvl w:val="3"/>
          <w:numId w:val="2"/>
        </w:numPr>
        <w:jc w:val="both"/>
        <w:rPr>
          <w:rFonts w:cstheme="minorHAnsi"/>
          <w:b/>
          <w:bCs/>
          <w:color w:val="212529"/>
          <w:sz w:val="24"/>
          <w:szCs w:val="24"/>
        </w:rPr>
      </w:pPr>
      <w:r>
        <w:rPr>
          <w:rFonts w:cstheme="minorHAnsi"/>
          <w:color w:val="212529"/>
          <w:sz w:val="24"/>
          <w:szCs w:val="24"/>
        </w:rPr>
        <w:t>You must make your payments on time and in full.</w:t>
      </w:r>
    </w:p>
    <w:p w14:paraId="207413B4" w14:textId="1862520D" w:rsidR="001458A0" w:rsidRPr="00C03526" w:rsidRDefault="001458A0" w:rsidP="001458A0">
      <w:pPr>
        <w:pStyle w:val="ListParagraph"/>
        <w:numPr>
          <w:ilvl w:val="3"/>
          <w:numId w:val="2"/>
        </w:numPr>
        <w:jc w:val="both"/>
        <w:rPr>
          <w:rStyle w:val="Hyperlink"/>
          <w:rFonts w:cstheme="minorHAnsi"/>
          <w:b/>
          <w:bCs/>
          <w:color w:val="212529"/>
          <w:sz w:val="24"/>
          <w:szCs w:val="24"/>
          <w:u w:val="none"/>
        </w:rPr>
      </w:pPr>
      <w:r>
        <w:rPr>
          <w:rFonts w:cstheme="minorHAnsi"/>
          <w:color w:val="212529"/>
          <w:sz w:val="24"/>
          <w:szCs w:val="24"/>
        </w:rPr>
        <w:t xml:space="preserve">Read more about PSLF </w:t>
      </w:r>
      <w:hyperlink r:id="rId9" w:history="1">
        <w:r w:rsidRPr="00EB4E63">
          <w:rPr>
            <w:rStyle w:val="Hyperlink"/>
            <w:rFonts w:cstheme="minorHAnsi"/>
            <w:sz w:val="24"/>
            <w:szCs w:val="24"/>
          </w:rPr>
          <w:t>here.</w:t>
        </w:r>
      </w:hyperlink>
    </w:p>
    <w:p w14:paraId="08A4253A" w14:textId="21FB8947" w:rsidR="00C03526" w:rsidRPr="00C03526" w:rsidRDefault="00C03526" w:rsidP="00C03526">
      <w:pPr>
        <w:pStyle w:val="ListParagraph"/>
        <w:numPr>
          <w:ilvl w:val="1"/>
          <w:numId w:val="2"/>
        </w:numPr>
        <w:jc w:val="both"/>
        <w:rPr>
          <w:rStyle w:val="Hyperlink"/>
          <w:rFonts w:cstheme="minorHAnsi"/>
          <w:b/>
          <w:bCs/>
          <w:color w:val="212529"/>
          <w:sz w:val="24"/>
          <w:szCs w:val="24"/>
          <w:u w:val="none"/>
        </w:rPr>
      </w:pPr>
      <w:r>
        <w:rPr>
          <w:rFonts w:cstheme="minorHAnsi"/>
          <w:color w:val="212529"/>
          <w:sz w:val="24"/>
          <w:szCs w:val="24"/>
        </w:rPr>
        <w:t xml:space="preserve">PSLF Temporary Waiver Opportunity: On 10/6/21, the Biden Administration announced a temporary overhaul of the PSLF program.  Certain requirements will be waived to allow borrowers whose payments were previously rejected due to the </w:t>
      </w:r>
      <w:r w:rsidRPr="00FC2328">
        <w:rPr>
          <w:rFonts w:cstheme="minorHAnsi"/>
          <w:b/>
          <w:bCs/>
          <w:color w:val="212529"/>
          <w:sz w:val="24"/>
          <w:szCs w:val="24"/>
        </w:rPr>
        <w:t>wrong loan types</w:t>
      </w:r>
      <w:r>
        <w:rPr>
          <w:rFonts w:cstheme="minorHAnsi"/>
          <w:color w:val="212529"/>
          <w:sz w:val="24"/>
          <w:szCs w:val="24"/>
        </w:rPr>
        <w:t xml:space="preserve"> or </w:t>
      </w:r>
      <w:r w:rsidRPr="00FC2328">
        <w:rPr>
          <w:rFonts w:cstheme="minorHAnsi"/>
          <w:b/>
          <w:bCs/>
          <w:color w:val="212529"/>
          <w:sz w:val="24"/>
          <w:szCs w:val="24"/>
        </w:rPr>
        <w:t>repayment plans</w:t>
      </w:r>
      <w:r>
        <w:rPr>
          <w:rFonts w:cstheme="minorHAnsi"/>
          <w:color w:val="212529"/>
          <w:sz w:val="24"/>
          <w:szCs w:val="24"/>
        </w:rPr>
        <w:t xml:space="preserve"> to receive qualifying payment credit.  This means that FFELP, Perkins and other </w:t>
      </w:r>
      <w:r w:rsidR="008C044B">
        <w:rPr>
          <w:rFonts w:cstheme="minorHAnsi"/>
          <w:color w:val="212529"/>
          <w:sz w:val="24"/>
          <w:szCs w:val="24"/>
        </w:rPr>
        <w:t>non-Direct</w:t>
      </w:r>
      <w:r>
        <w:rPr>
          <w:rFonts w:cstheme="minorHAnsi"/>
          <w:color w:val="212529"/>
          <w:sz w:val="24"/>
          <w:szCs w:val="24"/>
        </w:rPr>
        <w:t xml:space="preserve"> loan borrowers may be eligible for PSLF credit along with borrowers who made payments in any repayment plan and met all the other program requirements.  This option is only available until </w:t>
      </w:r>
      <w:r w:rsidRPr="00FC2328">
        <w:rPr>
          <w:rFonts w:cstheme="minorHAnsi"/>
          <w:b/>
          <w:bCs/>
          <w:color w:val="212529"/>
          <w:sz w:val="24"/>
          <w:szCs w:val="24"/>
        </w:rPr>
        <w:t>October 31, 2022</w:t>
      </w:r>
      <w:r>
        <w:rPr>
          <w:rFonts w:cstheme="minorHAnsi"/>
          <w:b/>
          <w:bCs/>
          <w:color w:val="212529"/>
          <w:sz w:val="24"/>
          <w:szCs w:val="24"/>
        </w:rPr>
        <w:t xml:space="preserve">.  </w:t>
      </w:r>
      <w:r>
        <w:rPr>
          <w:rFonts w:cstheme="minorHAnsi"/>
          <w:color w:val="212529"/>
          <w:sz w:val="24"/>
          <w:szCs w:val="24"/>
        </w:rPr>
        <w:t xml:space="preserve">Read more about the Temporary Waiver Opportunity </w:t>
      </w:r>
      <w:hyperlink r:id="rId10" w:history="1">
        <w:r w:rsidRPr="009A4E94">
          <w:rPr>
            <w:rStyle w:val="Hyperlink"/>
            <w:rFonts w:cstheme="minorHAnsi"/>
            <w:sz w:val="24"/>
            <w:szCs w:val="24"/>
          </w:rPr>
          <w:t>here.</w:t>
        </w:r>
      </w:hyperlink>
    </w:p>
    <w:p w14:paraId="1C34C60A" w14:textId="77777777" w:rsidR="00C03526" w:rsidRPr="00F5013C" w:rsidRDefault="00C03526" w:rsidP="00C03526">
      <w:pPr>
        <w:pStyle w:val="ListParagraph"/>
        <w:numPr>
          <w:ilvl w:val="3"/>
          <w:numId w:val="2"/>
        </w:numPr>
        <w:jc w:val="both"/>
        <w:rPr>
          <w:rFonts w:cstheme="minorHAnsi"/>
          <w:b/>
          <w:bCs/>
          <w:color w:val="212529"/>
          <w:sz w:val="24"/>
          <w:szCs w:val="24"/>
        </w:rPr>
      </w:pPr>
      <w:r>
        <w:rPr>
          <w:rFonts w:cstheme="minorHAnsi"/>
          <w:color w:val="212529"/>
          <w:sz w:val="24"/>
          <w:szCs w:val="24"/>
        </w:rPr>
        <w:lastRenderedPageBreak/>
        <w:t>Under the Waiver Opportunity, you have to meet the following requirements to receive qualifying PSLF credit:</w:t>
      </w:r>
    </w:p>
    <w:p w14:paraId="2F9E284E" w14:textId="77777777" w:rsidR="00C03526" w:rsidRPr="00F5013C" w:rsidRDefault="00C03526" w:rsidP="00C03526">
      <w:pPr>
        <w:pStyle w:val="ListParagraph"/>
        <w:numPr>
          <w:ilvl w:val="4"/>
          <w:numId w:val="2"/>
        </w:numPr>
        <w:jc w:val="both"/>
        <w:rPr>
          <w:rFonts w:cstheme="minorHAnsi"/>
          <w:b/>
          <w:bCs/>
          <w:color w:val="212529"/>
          <w:sz w:val="24"/>
          <w:szCs w:val="24"/>
        </w:rPr>
      </w:pPr>
      <w:r>
        <w:rPr>
          <w:rFonts w:cstheme="minorHAnsi"/>
          <w:color w:val="212529"/>
          <w:sz w:val="24"/>
          <w:szCs w:val="24"/>
        </w:rPr>
        <w:t xml:space="preserve">You must have worked full time for a qualifying employer.  You seem to have met this requirement for more than 10 years.  </w:t>
      </w:r>
    </w:p>
    <w:p w14:paraId="617CF46D" w14:textId="77777777" w:rsidR="00C03526" w:rsidRPr="00F5013C" w:rsidRDefault="00C03526" w:rsidP="00C03526">
      <w:pPr>
        <w:pStyle w:val="ListParagraph"/>
        <w:numPr>
          <w:ilvl w:val="4"/>
          <w:numId w:val="2"/>
        </w:numPr>
        <w:jc w:val="both"/>
        <w:rPr>
          <w:rFonts w:cstheme="minorHAnsi"/>
          <w:b/>
          <w:bCs/>
          <w:color w:val="212529"/>
          <w:sz w:val="24"/>
          <w:szCs w:val="24"/>
        </w:rPr>
      </w:pPr>
      <w:r>
        <w:rPr>
          <w:rFonts w:cstheme="minorHAnsi"/>
          <w:color w:val="212529"/>
          <w:sz w:val="24"/>
          <w:szCs w:val="24"/>
        </w:rPr>
        <w:t xml:space="preserve">Your loan status must have been “In Repayment”.  Note: It won’t matter if you made full, partial or no payment during the months your loans were “In Repayment”.  They will only be looking at the loan status.  </w:t>
      </w:r>
    </w:p>
    <w:p w14:paraId="11B9ED5D" w14:textId="77777777" w:rsidR="00C03526" w:rsidRPr="00C03526" w:rsidRDefault="00C03526" w:rsidP="00C03526">
      <w:pPr>
        <w:pStyle w:val="ListParagraph"/>
        <w:numPr>
          <w:ilvl w:val="4"/>
          <w:numId w:val="2"/>
        </w:numPr>
        <w:jc w:val="both"/>
        <w:rPr>
          <w:rFonts w:cstheme="minorHAnsi"/>
          <w:b/>
          <w:bCs/>
          <w:color w:val="212529"/>
          <w:sz w:val="24"/>
          <w:szCs w:val="24"/>
        </w:rPr>
      </w:pPr>
      <w:r>
        <w:rPr>
          <w:rFonts w:cstheme="minorHAnsi"/>
          <w:color w:val="212529"/>
          <w:sz w:val="24"/>
          <w:szCs w:val="24"/>
        </w:rPr>
        <w:t xml:space="preserve">Time periods prior to Loan Consolidation will be considered. (Under normal circumstances, once you consolidate, you lose qualifying payment credit towards PSLF for months prior to the consolidation).  </w:t>
      </w:r>
    </w:p>
    <w:p w14:paraId="7742C494" w14:textId="77777777" w:rsidR="00792DDF" w:rsidRPr="00B828D9" w:rsidRDefault="00792DDF" w:rsidP="00792DDF">
      <w:pPr>
        <w:pStyle w:val="ListParagraph"/>
        <w:ind w:left="2880"/>
        <w:jc w:val="both"/>
        <w:rPr>
          <w:rStyle w:val="Hyperlink"/>
          <w:rFonts w:cstheme="minorHAnsi"/>
          <w:b/>
          <w:bCs/>
          <w:color w:val="212529"/>
          <w:sz w:val="24"/>
          <w:szCs w:val="24"/>
          <w:u w:val="none"/>
        </w:rPr>
      </w:pPr>
    </w:p>
    <w:p w14:paraId="1CD7E022" w14:textId="5C8AF951" w:rsidR="00FB18E6" w:rsidRPr="00FB18E6" w:rsidRDefault="00FB18E6" w:rsidP="00FB18E6">
      <w:pPr>
        <w:pStyle w:val="ListParagraph"/>
        <w:ind w:left="2160"/>
        <w:jc w:val="both"/>
        <w:rPr>
          <w:rStyle w:val="Hyperlink"/>
          <w:rFonts w:cstheme="minorHAnsi"/>
          <w:b/>
          <w:bCs/>
          <w:color w:val="212529"/>
          <w:sz w:val="24"/>
          <w:szCs w:val="24"/>
        </w:rPr>
      </w:pPr>
      <w:bookmarkStart w:id="3" w:name="_Hlk89192391"/>
      <w:r>
        <w:rPr>
          <w:rStyle w:val="Hyperlink"/>
          <w:rFonts w:cstheme="minorHAnsi"/>
          <w:b/>
          <w:bCs/>
          <w:color w:val="212529"/>
          <w:sz w:val="24"/>
          <w:szCs w:val="24"/>
          <w:u w:val="none"/>
        </w:rPr>
        <w:t xml:space="preserve">USE THESE NOTES WHEN FILING PSLF CERTIFICATION AND APPLICATION </w:t>
      </w:r>
      <w:r w:rsidRPr="00FB18E6">
        <w:rPr>
          <w:rStyle w:val="Hyperlink"/>
          <w:rFonts w:cstheme="minorHAnsi"/>
          <w:b/>
          <w:bCs/>
          <w:color w:val="212529"/>
          <w:sz w:val="24"/>
          <w:szCs w:val="24"/>
        </w:rPr>
        <w:t>FORM WITH THE PSLF HELP TOOL</w:t>
      </w:r>
    </w:p>
    <w:p w14:paraId="2024A507" w14:textId="100B4EBA" w:rsidR="001458A0" w:rsidRPr="00EB6ED9" w:rsidRDefault="001458A0" w:rsidP="001458A0">
      <w:pPr>
        <w:pStyle w:val="ListParagraph"/>
        <w:numPr>
          <w:ilvl w:val="2"/>
          <w:numId w:val="2"/>
        </w:numPr>
        <w:jc w:val="both"/>
        <w:rPr>
          <w:rStyle w:val="Hyperlink"/>
          <w:rFonts w:cstheme="minorHAnsi"/>
          <w:b/>
          <w:bCs/>
          <w:color w:val="212529"/>
          <w:sz w:val="24"/>
          <w:szCs w:val="24"/>
          <w:u w:val="none"/>
        </w:rPr>
      </w:pPr>
      <w:r w:rsidRPr="00B828D9">
        <w:rPr>
          <w:rStyle w:val="Hyperlink"/>
          <w:rFonts w:cstheme="minorHAnsi"/>
          <w:color w:val="000000" w:themeColor="text1"/>
          <w:sz w:val="24"/>
          <w:szCs w:val="24"/>
          <w:u w:val="none"/>
        </w:rPr>
        <w:t>Start tracking your qualifying payments by filing the</w:t>
      </w:r>
      <w:r w:rsidRPr="00B828D9">
        <w:rPr>
          <w:rStyle w:val="Hyperlink"/>
          <w:rFonts w:cstheme="minorHAnsi"/>
          <w:color w:val="000000" w:themeColor="text1"/>
          <w:sz w:val="24"/>
          <w:szCs w:val="24"/>
        </w:rPr>
        <w:t xml:space="preserve"> </w:t>
      </w:r>
      <w:hyperlink r:id="rId11" w:history="1">
        <w:r w:rsidRPr="00B828D9">
          <w:rPr>
            <w:rStyle w:val="Hyperlink"/>
            <w:rFonts w:cstheme="minorHAnsi"/>
            <w:sz w:val="24"/>
            <w:szCs w:val="24"/>
          </w:rPr>
          <w:t>PSLF Certification and Application Form</w:t>
        </w:r>
      </w:hyperlink>
      <w:r>
        <w:rPr>
          <w:rStyle w:val="Hyperlink"/>
          <w:rFonts w:cstheme="minorHAnsi"/>
          <w:sz w:val="24"/>
          <w:szCs w:val="24"/>
        </w:rPr>
        <w:t>.</w:t>
      </w:r>
      <w:r w:rsidRPr="00EB6ED9">
        <w:rPr>
          <w:rStyle w:val="Hyperlink"/>
          <w:rFonts w:cstheme="minorHAnsi"/>
          <w:sz w:val="24"/>
          <w:szCs w:val="24"/>
          <w:u w:val="none"/>
        </w:rPr>
        <w:t xml:space="preserve"> </w:t>
      </w:r>
    </w:p>
    <w:p w14:paraId="38DBBFB5" w14:textId="77777777" w:rsidR="001458A0" w:rsidRPr="00EB6ED9" w:rsidRDefault="001458A0" w:rsidP="001458A0">
      <w:pPr>
        <w:pStyle w:val="ListParagraph"/>
        <w:numPr>
          <w:ilvl w:val="2"/>
          <w:numId w:val="2"/>
        </w:numPr>
        <w:jc w:val="both"/>
        <w:rPr>
          <w:rStyle w:val="Hyperlink"/>
          <w:rFonts w:cstheme="minorHAnsi"/>
          <w:b/>
          <w:bCs/>
          <w:color w:val="212529"/>
          <w:sz w:val="24"/>
          <w:szCs w:val="24"/>
          <w:u w:val="none"/>
        </w:rPr>
      </w:pPr>
      <w:r>
        <w:rPr>
          <w:rStyle w:val="Hyperlink"/>
          <w:rFonts w:cstheme="minorHAnsi"/>
          <w:color w:val="000000" w:themeColor="text1"/>
          <w:sz w:val="24"/>
          <w:szCs w:val="24"/>
          <w:u w:val="none"/>
        </w:rPr>
        <w:t xml:space="preserve">Use the </w:t>
      </w:r>
      <w:hyperlink r:id="rId12" w:history="1">
        <w:r w:rsidRPr="00EB6ED9">
          <w:rPr>
            <w:rStyle w:val="Hyperlink"/>
            <w:rFonts w:cstheme="minorHAnsi"/>
            <w:sz w:val="24"/>
            <w:szCs w:val="24"/>
          </w:rPr>
          <w:t>PSLF Help Tool</w:t>
        </w:r>
      </w:hyperlink>
      <w:r>
        <w:rPr>
          <w:rStyle w:val="Hyperlink"/>
          <w:rFonts w:cstheme="minorHAnsi"/>
          <w:color w:val="000000" w:themeColor="text1"/>
          <w:sz w:val="24"/>
          <w:szCs w:val="24"/>
          <w:u w:val="none"/>
        </w:rPr>
        <w:t xml:space="preserve"> to generate the form.  You can access this tool by logging into your FSA account.  </w:t>
      </w:r>
    </w:p>
    <w:p w14:paraId="61564523" w14:textId="77777777" w:rsidR="001458A0" w:rsidRPr="00EB6ED9" w:rsidRDefault="001458A0" w:rsidP="001458A0">
      <w:pPr>
        <w:pStyle w:val="ListParagraph"/>
        <w:numPr>
          <w:ilvl w:val="3"/>
          <w:numId w:val="2"/>
        </w:numPr>
        <w:jc w:val="both"/>
        <w:rPr>
          <w:rStyle w:val="Hyperlink"/>
          <w:rFonts w:cstheme="minorHAnsi"/>
          <w:b/>
          <w:bCs/>
          <w:color w:val="212529"/>
          <w:sz w:val="24"/>
          <w:szCs w:val="24"/>
          <w:u w:val="none"/>
        </w:rPr>
      </w:pPr>
      <w:r>
        <w:rPr>
          <w:rStyle w:val="Hyperlink"/>
          <w:rFonts w:cstheme="minorHAnsi"/>
          <w:color w:val="000000" w:themeColor="text1"/>
          <w:sz w:val="24"/>
          <w:szCs w:val="24"/>
          <w:u w:val="none"/>
        </w:rPr>
        <w:t xml:space="preserve">You’ll need the Employer Identification Number (EIN) from each employer for which you are filing a form.  You can get this from a W-2 form or by asking the company’s HR department.  </w:t>
      </w:r>
    </w:p>
    <w:p w14:paraId="45A74D5F" w14:textId="77777777" w:rsidR="001458A0" w:rsidRPr="002F7BCC" w:rsidRDefault="001458A0" w:rsidP="001458A0">
      <w:pPr>
        <w:pStyle w:val="ListParagraph"/>
        <w:numPr>
          <w:ilvl w:val="3"/>
          <w:numId w:val="2"/>
        </w:numPr>
        <w:jc w:val="both"/>
        <w:rPr>
          <w:rStyle w:val="Hyperlink"/>
          <w:rFonts w:cstheme="minorHAnsi"/>
          <w:b/>
          <w:bCs/>
          <w:color w:val="212529"/>
          <w:sz w:val="24"/>
          <w:szCs w:val="24"/>
          <w:u w:val="none"/>
        </w:rPr>
      </w:pPr>
      <w:r>
        <w:rPr>
          <w:rStyle w:val="Hyperlink"/>
          <w:rFonts w:cstheme="minorHAnsi"/>
          <w:color w:val="000000" w:themeColor="text1"/>
          <w:sz w:val="24"/>
          <w:szCs w:val="24"/>
          <w:u w:val="none"/>
        </w:rPr>
        <w:t>You’ll need to know exact beginning and ending employment dates (there is an option available to indicate if you are still employed)</w:t>
      </w:r>
    </w:p>
    <w:p w14:paraId="3E500071" w14:textId="77777777" w:rsidR="001458A0" w:rsidRPr="002F7BCC" w:rsidRDefault="001458A0" w:rsidP="001458A0">
      <w:pPr>
        <w:pStyle w:val="ListParagraph"/>
        <w:numPr>
          <w:ilvl w:val="3"/>
          <w:numId w:val="2"/>
        </w:numPr>
        <w:jc w:val="both"/>
        <w:rPr>
          <w:rStyle w:val="Hyperlink"/>
          <w:rFonts w:cstheme="minorHAnsi"/>
          <w:b/>
          <w:bCs/>
          <w:color w:val="212529"/>
          <w:sz w:val="24"/>
          <w:szCs w:val="24"/>
          <w:u w:val="none"/>
        </w:rPr>
      </w:pPr>
      <w:r>
        <w:rPr>
          <w:rStyle w:val="Hyperlink"/>
          <w:rFonts w:cstheme="minorHAnsi"/>
          <w:color w:val="000000" w:themeColor="text1"/>
          <w:sz w:val="24"/>
          <w:szCs w:val="24"/>
          <w:u w:val="none"/>
        </w:rPr>
        <w:t xml:space="preserve">If you don’t think you have the 120 qualifying payments necessary to receive loan forgiveness, indicate that you just want to update your qualifying payment count.  </w:t>
      </w:r>
    </w:p>
    <w:p w14:paraId="1E2DBB1B" w14:textId="77777777" w:rsidR="001458A0" w:rsidRPr="002F7BCC" w:rsidRDefault="001458A0" w:rsidP="001458A0">
      <w:pPr>
        <w:pStyle w:val="ListParagraph"/>
        <w:numPr>
          <w:ilvl w:val="3"/>
          <w:numId w:val="2"/>
        </w:numPr>
        <w:jc w:val="both"/>
        <w:rPr>
          <w:rStyle w:val="Hyperlink"/>
          <w:rFonts w:cstheme="minorHAnsi"/>
          <w:b/>
          <w:bCs/>
          <w:color w:val="212529"/>
          <w:sz w:val="24"/>
          <w:szCs w:val="24"/>
          <w:u w:val="none"/>
        </w:rPr>
      </w:pPr>
      <w:r>
        <w:rPr>
          <w:rStyle w:val="Hyperlink"/>
          <w:rFonts w:cstheme="minorHAnsi"/>
          <w:color w:val="000000" w:themeColor="text1"/>
          <w:sz w:val="24"/>
          <w:szCs w:val="24"/>
          <w:u w:val="none"/>
        </w:rPr>
        <w:t xml:space="preserve">If you think you have the 120 qualifying payments necessary to receive loan forgiveness, indicate that you are requesting loan forgiveness upon filing the form. </w:t>
      </w:r>
    </w:p>
    <w:p w14:paraId="5B6FBC4B" w14:textId="77777777" w:rsidR="001458A0" w:rsidRPr="002F7BCC" w:rsidRDefault="001458A0" w:rsidP="001458A0">
      <w:pPr>
        <w:pStyle w:val="ListParagraph"/>
        <w:numPr>
          <w:ilvl w:val="3"/>
          <w:numId w:val="2"/>
        </w:numPr>
        <w:jc w:val="both"/>
        <w:rPr>
          <w:rStyle w:val="Hyperlink"/>
          <w:rFonts w:cstheme="minorHAnsi"/>
          <w:b/>
          <w:bCs/>
          <w:color w:val="212529"/>
          <w:sz w:val="24"/>
          <w:szCs w:val="24"/>
          <w:u w:val="none"/>
        </w:rPr>
      </w:pPr>
      <w:r>
        <w:rPr>
          <w:rStyle w:val="Hyperlink"/>
          <w:rFonts w:cstheme="minorHAnsi"/>
          <w:color w:val="000000" w:themeColor="text1"/>
          <w:sz w:val="24"/>
          <w:szCs w:val="24"/>
          <w:u w:val="none"/>
        </w:rPr>
        <w:t xml:space="preserve">Follow all the instructions. </w:t>
      </w:r>
    </w:p>
    <w:p w14:paraId="68978001" w14:textId="7BD5C533" w:rsidR="001458A0" w:rsidRPr="005D440A" w:rsidRDefault="001458A0" w:rsidP="001458A0">
      <w:pPr>
        <w:pStyle w:val="ListParagraph"/>
        <w:numPr>
          <w:ilvl w:val="3"/>
          <w:numId w:val="2"/>
        </w:numPr>
        <w:jc w:val="both"/>
        <w:rPr>
          <w:rStyle w:val="Hyperlink"/>
          <w:rFonts w:cstheme="minorHAnsi"/>
          <w:b/>
          <w:bCs/>
          <w:color w:val="212529"/>
          <w:sz w:val="24"/>
          <w:szCs w:val="24"/>
          <w:u w:val="none"/>
        </w:rPr>
      </w:pPr>
      <w:r>
        <w:rPr>
          <w:rStyle w:val="Hyperlink"/>
          <w:rFonts w:cstheme="minorHAnsi"/>
          <w:color w:val="000000" w:themeColor="text1"/>
          <w:sz w:val="24"/>
          <w:szCs w:val="24"/>
          <w:u w:val="none"/>
        </w:rPr>
        <w:t xml:space="preserve">IMPORTANT: The PSLF tool helps to generate the </w:t>
      </w:r>
      <w:r w:rsidR="00720DD7">
        <w:rPr>
          <w:rStyle w:val="Hyperlink"/>
          <w:rFonts w:cstheme="minorHAnsi"/>
          <w:color w:val="000000" w:themeColor="text1"/>
          <w:sz w:val="24"/>
          <w:szCs w:val="24"/>
          <w:u w:val="none"/>
        </w:rPr>
        <w:t>form,</w:t>
      </w:r>
      <w:r>
        <w:rPr>
          <w:rStyle w:val="Hyperlink"/>
          <w:rFonts w:cstheme="minorHAnsi"/>
          <w:color w:val="000000" w:themeColor="text1"/>
          <w:sz w:val="24"/>
          <w:szCs w:val="24"/>
          <w:u w:val="none"/>
        </w:rPr>
        <w:t xml:space="preserve"> but it doesn’t send it anywhere.  You still have to print it out, have your employer fill in section 4 and send it to FedLoan.  If FedLoan is currently your servicer, upload it from your MyFedLoan account.  If </w:t>
      </w:r>
      <w:r>
        <w:rPr>
          <w:rStyle w:val="Hyperlink"/>
          <w:rFonts w:cstheme="minorHAnsi"/>
          <w:color w:val="000000" w:themeColor="text1"/>
          <w:sz w:val="24"/>
          <w:szCs w:val="24"/>
          <w:u w:val="none"/>
        </w:rPr>
        <w:lastRenderedPageBreak/>
        <w:t xml:space="preserve">you have a different servicer, you will need to mail or fax the form to FedLoan (see section 7 of the PDF above for details). </w:t>
      </w:r>
    </w:p>
    <w:p w14:paraId="52FB3AC0" w14:textId="7A49701A" w:rsidR="005D440A" w:rsidRPr="00121E0C" w:rsidRDefault="005D440A" w:rsidP="001458A0">
      <w:pPr>
        <w:pStyle w:val="ListParagraph"/>
        <w:numPr>
          <w:ilvl w:val="3"/>
          <w:numId w:val="2"/>
        </w:numPr>
        <w:jc w:val="both"/>
        <w:rPr>
          <w:rStyle w:val="Hyperlink"/>
          <w:rFonts w:cstheme="minorHAnsi"/>
          <w:b/>
          <w:bCs/>
          <w:color w:val="212529"/>
          <w:sz w:val="24"/>
          <w:szCs w:val="24"/>
          <w:u w:val="none"/>
        </w:rPr>
      </w:pPr>
      <w:r>
        <w:rPr>
          <w:rStyle w:val="Hyperlink"/>
          <w:rFonts w:cstheme="minorHAnsi"/>
          <w:color w:val="000000" w:themeColor="text1"/>
          <w:sz w:val="24"/>
          <w:szCs w:val="24"/>
          <w:u w:val="none"/>
        </w:rPr>
        <w:t>Make sure you sign and date the bottom of page one.</w:t>
      </w:r>
    </w:p>
    <w:p w14:paraId="1716A2BF" w14:textId="6E5E7DD1" w:rsidR="001458A0" w:rsidRPr="005D440A" w:rsidRDefault="001458A0" w:rsidP="001458A0">
      <w:pPr>
        <w:pStyle w:val="ListParagraph"/>
        <w:numPr>
          <w:ilvl w:val="3"/>
          <w:numId w:val="2"/>
        </w:numPr>
        <w:jc w:val="both"/>
        <w:rPr>
          <w:rStyle w:val="Hyperlink"/>
          <w:rFonts w:cstheme="minorHAnsi"/>
          <w:b/>
          <w:bCs/>
          <w:color w:val="212529"/>
          <w:sz w:val="24"/>
          <w:szCs w:val="24"/>
          <w:u w:val="none"/>
        </w:rPr>
      </w:pPr>
      <w:r>
        <w:rPr>
          <w:rStyle w:val="Hyperlink"/>
          <w:rFonts w:cstheme="minorHAnsi"/>
          <w:color w:val="000000" w:themeColor="text1"/>
          <w:sz w:val="24"/>
          <w:szCs w:val="24"/>
          <w:u w:val="none"/>
        </w:rPr>
        <w:t>Check to be sure your employer fills in all the information in section 4 and signs and dates it.  If they just sign and date it, the form will be rejected!</w:t>
      </w:r>
      <w:r w:rsidR="00930B8A">
        <w:rPr>
          <w:rStyle w:val="Hyperlink"/>
          <w:rFonts w:cstheme="minorHAnsi"/>
          <w:color w:val="000000" w:themeColor="text1"/>
          <w:sz w:val="24"/>
          <w:szCs w:val="24"/>
          <w:u w:val="none"/>
        </w:rPr>
        <w:t xml:space="preserve"> </w:t>
      </w:r>
    </w:p>
    <w:p w14:paraId="3A0DBC2E" w14:textId="1B1C5A69" w:rsidR="005D440A" w:rsidRPr="005D440A" w:rsidRDefault="005D440A" w:rsidP="001458A0">
      <w:pPr>
        <w:pStyle w:val="ListParagraph"/>
        <w:numPr>
          <w:ilvl w:val="3"/>
          <w:numId w:val="2"/>
        </w:numPr>
        <w:jc w:val="both"/>
        <w:rPr>
          <w:rStyle w:val="Hyperlink"/>
          <w:rFonts w:cstheme="minorHAnsi"/>
          <w:b/>
          <w:bCs/>
          <w:color w:val="212529"/>
          <w:sz w:val="24"/>
          <w:szCs w:val="24"/>
          <w:u w:val="none"/>
        </w:rPr>
      </w:pPr>
      <w:r>
        <w:rPr>
          <w:rStyle w:val="Hyperlink"/>
          <w:rFonts w:cstheme="minorHAnsi"/>
          <w:color w:val="000000" w:themeColor="text1"/>
          <w:sz w:val="24"/>
          <w:szCs w:val="24"/>
          <w:u w:val="none"/>
        </w:rPr>
        <w:t>Be sure both you and the employer use acceptable methods of signing the form as follows:</w:t>
      </w:r>
    </w:p>
    <w:p w14:paraId="5DE6976D" w14:textId="382D75B0" w:rsidR="005D440A" w:rsidRDefault="005D440A" w:rsidP="005D440A">
      <w:pPr>
        <w:ind w:left="2520"/>
      </w:pPr>
      <w:r>
        <w:tab/>
      </w:r>
      <w:hyperlink r:id="rId13" w:anchor="employment-certification" w:history="1">
        <w:r w:rsidRPr="002B2220">
          <w:rPr>
            <w:rStyle w:val="Hyperlink"/>
          </w:rPr>
          <w:t>Acceptable signatures on PSLF Certification Forms Per FSA</w:t>
        </w:r>
      </w:hyperlink>
    </w:p>
    <w:p w14:paraId="6C55AF82" w14:textId="5ACF70CF" w:rsidR="005D440A" w:rsidRPr="00CF4317" w:rsidRDefault="005D440A" w:rsidP="005D440A">
      <w:pPr>
        <w:shd w:val="clear" w:color="auto" w:fill="FFFFFF"/>
        <w:spacing w:before="100" w:beforeAutospacing="1" w:after="120" w:line="240" w:lineRule="auto"/>
        <w:ind w:left="2520"/>
        <w:outlineLvl w:val="1"/>
        <w:rPr>
          <w:rFonts w:eastAsia="Times New Roman" w:cstheme="minorHAnsi"/>
          <w:b/>
          <w:bCs/>
          <w:color w:val="17232E"/>
          <w:sz w:val="36"/>
          <w:szCs w:val="36"/>
        </w:rPr>
      </w:pPr>
      <w:r>
        <w:rPr>
          <w:rFonts w:ascii="News Cycle" w:eastAsia="Times New Roman" w:hAnsi="News Cycle" w:cs="Times New Roman"/>
          <w:b/>
          <w:bCs/>
          <w:color w:val="17232E"/>
          <w:sz w:val="36"/>
          <w:szCs w:val="36"/>
        </w:rPr>
        <w:tab/>
      </w:r>
      <w:r w:rsidRPr="00CF4317">
        <w:rPr>
          <w:rFonts w:eastAsia="Times New Roman" w:cstheme="minorHAnsi"/>
          <w:b/>
          <w:bCs/>
          <w:color w:val="17232E"/>
          <w:sz w:val="36"/>
          <w:szCs w:val="36"/>
        </w:rPr>
        <w:t>How to Submit the PSLF Form</w:t>
      </w:r>
    </w:p>
    <w:p w14:paraId="2E3AFE8C" w14:textId="77777777" w:rsidR="005D440A" w:rsidRPr="00CF4317" w:rsidRDefault="005D440A" w:rsidP="005D440A">
      <w:pPr>
        <w:shd w:val="clear" w:color="auto" w:fill="FFFFFF"/>
        <w:spacing w:after="100" w:afterAutospacing="1" w:line="240" w:lineRule="auto"/>
        <w:ind w:left="2880"/>
        <w:rPr>
          <w:rFonts w:eastAsia="Times New Roman" w:cstheme="minorHAnsi"/>
          <w:color w:val="212529"/>
          <w:sz w:val="24"/>
          <w:szCs w:val="24"/>
        </w:rPr>
      </w:pPr>
      <w:r w:rsidRPr="00CF4317">
        <w:rPr>
          <w:rFonts w:eastAsia="Times New Roman" w:cstheme="minorHAnsi"/>
          <w:b/>
          <w:bCs/>
          <w:color w:val="212529"/>
          <w:sz w:val="24"/>
          <w:szCs w:val="24"/>
        </w:rPr>
        <w:t>A reminder about digital signatures:</w:t>
      </w:r>
      <w:r w:rsidRPr="00CF4317">
        <w:rPr>
          <w:rFonts w:eastAsia="Times New Roman" w:cstheme="minorHAnsi"/>
          <w:color w:val="212529"/>
          <w:sz w:val="24"/>
          <w:szCs w:val="24"/>
        </w:rPr>
        <w:t> Digital signatures from you or your employer must be hand drawn (from a signature pad, mouse, finger, or by taking a picture of a signature drawn on a piece of paper that you then scan and embed on the signature line of the PSLF form) to be accepted. Typed signatures, even if made to mimic a hand-drawn signature, or security certificate-based signatures are not accepted.</w:t>
      </w:r>
    </w:p>
    <w:tbl>
      <w:tblPr>
        <w:tblW w:w="8179" w:type="dxa"/>
        <w:tblInd w:w="2460" w:type="dxa"/>
        <w:tblCellMar>
          <w:top w:w="15" w:type="dxa"/>
          <w:left w:w="15" w:type="dxa"/>
          <w:bottom w:w="15" w:type="dxa"/>
          <w:right w:w="15" w:type="dxa"/>
        </w:tblCellMar>
        <w:tblLook w:val="04A0" w:firstRow="1" w:lastRow="0" w:firstColumn="1" w:lastColumn="0" w:noHBand="0" w:noVBand="1"/>
      </w:tblPr>
      <w:tblGrid>
        <w:gridCol w:w="7393"/>
        <w:gridCol w:w="786"/>
      </w:tblGrid>
      <w:tr w:rsidR="005D440A" w:rsidRPr="00CF4317" w14:paraId="539F464A" w14:textId="77777777" w:rsidTr="005D440A">
        <w:tc>
          <w:tcPr>
            <w:tcW w:w="0" w:type="auto"/>
            <w:gridSpan w:val="2"/>
            <w:tcBorders>
              <w:top w:val="nil"/>
              <w:left w:val="nil"/>
              <w:bottom w:val="single" w:sz="24" w:space="0" w:color="BDC1C2"/>
              <w:right w:val="nil"/>
            </w:tcBorders>
            <w:hideMark/>
          </w:tcPr>
          <w:p w14:paraId="2843FF20" w14:textId="77777777" w:rsidR="005D440A" w:rsidRPr="00CF4317" w:rsidRDefault="005D440A" w:rsidP="007C3905">
            <w:pPr>
              <w:spacing w:after="0" w:line="240" w:lineRule="auto"/>
              <w:rPr>
                <w:rFonts w:eastAsia="Times New Roman" w:cstheme="minorHAnsi"/>
                <w:b/>
                <w:bCs/>
                <w:color w:val="345065"/>
                <w:sz w:val="24"/>
                <w:szCs w:val="24"/>
              </w:rPr>
            </w:pPr>
            <w:r w:rsidRPr="00CF4317">
              <w:rPr>
                <w:rFonts w:eastAsia="Times New Roman" w:cstheme="minorHAnsi"/>
                <w:b/>
                <w:bCs/>
                <w:color w:val="345065"/>
                <w:sz w:val="24"/>
                <w:szCs w:val="24"/>
              </w:rPr>
              <w:t>Signature Examples</w:t>
            </w:r>
          </w:p>
        </w:tc>
      </w:tr>
      <w:tr w:rsidR="005D440A" w:rsidRPr="00CF4317" w14:paraId="5756880B" w14:textId="77777777" w:rsidTr="005D440A">
        <w:tc>
          <w:tcPr>
            <w:tcW w:w="0" w:type="auto"/>
            <w:tcBorders>
              <w:top w:val="nil"/>
              <w:left w:val="nil"/>
              <w:bottom w:val="single" w:sz="6" w:space="0" w:color="BDC1C2"/>
              <w:right w:val="nil"/>
            </w:tcBorders>
            <w:hideMark/>
          </w:tcPr>
          <w:p w14:paraId="205872A8" w14:textId="77777777" w:rsidR="005D440A" w:rsidRPr="00CF4317" w:rsidRDefault="005D440A" w:rsidP="007C3905">
            <w:pPr>
              <w:spacing w:after="0" w:line="240" w:lineRule="auto"/>
              <w:rPr>
                <w:rFonts w:eastAsia="Times New Roman" w:cstheme="minorHAnsi"/>
                <w:b/>
                <w:bCs/>
                <w:color w:val="345065"/>
                <w:sz w:val="24"/>
                <w:szCs w:val="24"/>
              </w:rPr>
            </w:pPr>
            <w:r w:rsidRPr="00CF4317">
              <w:rPr>
                <w:rFonts w:eastAsia="Times New Roman" w:cstheme="minorHAnsi"/>
                <w:b/>
                <w:bCs/>
                <w:color w:val="345065"/>
                <w:sz w:val="24"/>
                <w:szCs w:val="24"/>
              </w:rPr>
              <w:t>Signature Type</w:t>
            </w:r>
          </w:p>
        </w:tc>
        <w:tc>
          <w:tcPr>
            <w:tcW w:w="0" w:type="auto"/>
            <w:tcBorders>
              <w:top w:val="nil"/>
              <w:left w:val="nil"/>
              <w:bottom w:val="single" w:sz="6" w:space="0" w:color="BDC1C2"/>
              <w:right w:val="nil"/>
            </w:tcBorders>
            <w:hideMark/>
          </w:tcPr>
          <w:p w14:paraId="7C334E7A" w14:textId="77777777" w:rsidR="005D440A" w:rsidRPr="00CF4317" w:rsidRDefault="005D440A" w:rsidP="007C3905">
            <w:pPr>
              <w:spacing w:after="0" w:line="240" w:lineRule="auto"/>
              <w:rPr>
                <w:rFonts w:eastAsia="Times New Roman" w:cstheme="minorHAnsi"/>
                <w:b/>
                <w:bCs/>
                <w:color w:val="345065"/>
                <w:sz w:val="24"/>
                <w:szCs w:val="24"/>
              </w:rPr>
            </w:pPr>
            <w:r w:rsidRPr="00CF4317">
              <w:rPr>
                <w:rFonts w:eastAsia="Times New Roman" w:cstheme="minorHAnsi"/>
                <w:b/>
                <w:bCs/>
                <w:color w:val="345065"/>
                <w:sz w:val="24"/>
                <w:szCs w:val="24"/>
              </w:rPr>
              <w:t>Yes/No</w:t>
            </w:r>
          </w:p>
        </w:tc>
      </w:tr>
      <w:tr w:rsidR="005D440A" w:rsidRPr="00CF4317" w14:paraId="38017147" w14:textId="77777777" w:rsidTr="005D440A">
        <w:tc>
          <w:tcPr>
            <w:tcW w:w="0" w:type="auto"/>
            <w:tcBorders>
              <w:top w:val="nil"/>
              <w:left w:val="nil"/>
              <w:bottom w:val="single" w:sz="6" w:space="0" w:color="BDC1C2"/>
              <w:right w:val="nil"/>
            </w:tcBorders>
            <w:hideMark/>
          </w:tcPr>
          <w:p w14:paraId="2DADF33A" w14:textId="77777777" w:rsidR="005D440A" w:rsidRPr="00CF4317" w:rsidRDefault="005D440A" w:rsidP="007C3905">
            <w:pPr>
              <w:spacing w:after="0" w:line="240" w:lineRule="auto"/>
              <w:rPr>
                <w:rFonts w:eastAsia="Times New Roman" w:cstheme="minorHAnsi"/>
                <w:color w:val="212529"/>
                <w:sz w:val="24"/>
                <w:szCs w:val="24"/>
              </w:rPr>
            </w:pPr>
            <w:r w:rsidRPr="00CF4317">
              <w:rPr>
                <w:rFonts w:eastAsia="Times New Roman" w:cstheme="minorHAnsi"/>
                <w:color w:val="212529"/>
                <w:sz w:val="24"/>
                <w:szCs w:val="24"/>
              </w:rPr>
              <w:t>Hand drawn from signature pad, mouse, or finger</w:t>
            </w:r>
          </w:p>
        </w:tc>
        <w:tc>
          <w:tcPr>
            <w:tcW w:w="0" w:type="auto"/>
            <w:tcBorders>
              <w:top w:val="nil"/>
              <w:left w:val="nil"/>
              <w:bottom w:val="single" w:sz="6" w:space="0" w:color="BDC1C2"/>
              <w:right w:val="nil"/>
            </w:tcBorders>
            <w:hideMark/>
          </w:tcPr>
          <w:p w14:paraId="0558BAC3" w14:textId="77777777" w:rsidR="005D440A" w:rsidRPr="00CF4317" w:rsidRDefault="005D440A" w:rsidP="007C3905">
            <w:pPr>
              <w:spacing w:after="0" w:line="240" w:lineRule="auto"/>
              <w:rPr>
                <w:rFonts w:eastAsia="Times New Roman" w:cstheme="minorHAnsi"/>
                <w:color w:val="212529"/>
                <w:sz w:val="24"/>
                <w:szCs w:val="24"/>
              </w:rPr>
            </w:pPr>
            <w:r w:rsidRPr="00CF4317">
              <w:rPr>
                <w:rFonts w:ascii="Segoe UI Symbol" w:eastAsia="Times New Roman" w:hAnsi="Segoe UI Symbol" w:cs="Segoe UI Symbol"/>
                <w:color w:val="212529"/>
                <w:sz w:val="24"/>
                <w:szCs w:val="24"/>
              </w:rPr>
              <w:t>✔</w:t>
            </w:r>
          </w:p>
        </w:tc>
      </w:tr>
      <w:tr w:rsidR="005D440A" w:rsidRPr="00CF4317" w14:paraId="43C877E7" w14:textId="77777777" w:rsidTr="005D440A">
        <w:tc>
          <w:tcPr>
            <w:tcW w:w="0" w:type="auto"/>
            <w:tcBorders>
              <w:top w:val="nil"/>
              <w:left w:val="nil"/>
              <w:bottom w:val="single" w:sz="6" w:space="0" w:color="BDC1C2"/>
              <w:right w:val="nil"/>
            </w:tcBorders>
            <w:hideMark/>
          </w:tcPr>
          <w:p w14:paraId="2A63919A" w14:textId="77777777" w:rsidR="005D440A" w:rsidRPr="00CF4317" w:rsidRDefault="005D440A" w:rsidP="007C3905">
            <w:pPr>
              <w:spacing w:after="0" w:line="240" w:lineRule="auto"/>
              <w:rPr>
                <w:rFonts w:eastAsia="Times New Roman" w:cstheme="minorHAnsi"/>
                <w:color w:val="212529"/>
                <w:sz w:val="24"/>
                <w:szCs w:val="24"/>
              </w:rPr>
            </w:pPr>
            <w:r w:rsidRPr="00CF4317">
              <w:rPr>
                <w:rFonts w:eastAsia="Times New Roman" w:cstheme="minorHAnsi"/>
                <w:color w:val="212529"/>
                <w:sz w:val="24"/>
                <w:szCs w:val="24"/>
              </w:rPr>
              <w:t>Typed using a cursive font or any other font</w:t>
            </w:r>
          </w:p>
        </w:tc>
        <w:tc>
          <w:tcPr>
            <w:tcW w:w="0" w:type="auto"/>
            <w:tcBorders>
              <w:top w:val="nil"/>
              <w:left w:val="nil"/>
              <w:bottom w:val="single" w:sz="6" w:space="0" w:color="BDC1C2"/>
              <w:right w:val="nil"/>
            </w:tcBorders>
            <w:hideMark/>
          </w:tcPr>
          <w:p w14:paraId="48D58E7F" w14:textId="77777777" w:rsidR="005D440A" w:rsidRPr="00CF4317" w:rsidRDefault="005D440A" w:rsidP="007C3905">
            <w:pPr>
              <w:spacing w:after="0" w:line="240" w:lineRule="auto"/>
              <w:rPr>
                <w:rFonts w:eastAsia="Times New Roman" w:cstheme="minorHAnsi"/>
                <w:color w:val="212529"/>
                <w:sz w:val="24"/>
                <w:szCs w:val="24"/>
              </w:rPr>
            </w:pPr>
            <w:r w:rsidRPr="00CF4317">
              <w:rPr>
                <w:rFonts w:eastAsia="Times New Roman" w:cstheme="minorHAnsi"/>
                <w:b/>
                <w:bCs/>
                <w:color w:val="212529"/>
                <w:sz w:val="24"/>
                <w:szCs w:val="24"/>
              </w:rPr>
              <w:t>X</w:t>
            </w:r>
          </w:p>
        </w:tc>
      </w:tr>
      <w:tr w:rsidR="005D440A" w:rsidRPr="00CF4317" w14:paraId="5E949347" w14:textId="77777777" w:rsidTr="005D440A">
        <w:tc>
          <w:tcPr>
            <w:tcW w:w="0" w:type="auto"/>
            <w:tcBorders>
              <w:top w:val="nil"/>
              <w:left w:val="nil"/>
              <w:bottom w:val="single" w:sz="6" w:space="0" w:color="BDC1C2"/>
              <w:right w:val="nil"/>
            </w:tcBorders>
            <w:hideMark/>
          </w:tcPr>
          <w:p w14:paraId="7CACA39E" w14:textId="77777777" w:rsidR="005D440A" w:rsidRPr="00CF4317" w:rsidRDefault="005D440A" w:rsidP="007C3905">
            <w:pPr>
              <w:spacing w:after="0" w:line="240" w:lineRule="auto"/>
              <w:rPr>
                <w:rFonts w:eastAsia="Times New Roman" w:cstheme="minorHAnsi"/>
                <w:color w:val="212529"/>
                <w:sz w:val="24"/>
                <w:szCs w:val="24"/>
              </w:rPr>
            </w:pPr>
            <w:r w:rsidRPr="00CF4317">
              <w:rPr>
                <w:rFonts w:eastAsia="Times New Roman" w:cstheme="minorHAnsi"/>
                <w:color w:val="212529"/>
                <w:sz w:val="24"/>
                <w:szCs w:val="24"/>
              </w:rPr>
              <w:t>A scanned photo of a signature that was hand-drawn on paper</w:t>
            </w:r>
          </w:p>
        </w:tc>
        <w:tc>
          <w:tcPr>
            <w:tcW w:w="0" w:type="auto"/>
            <w:tcBorders>
              <w:top w:val="nil"/>
              <w:left w:val="nil"/>
              <w:bottom w:val="single" w:sz="6" w:space="0" w:color="BDC1C2"/>
              <w:right w:val="nil"/>
            </w:tcBorders>
            <w:hideMark/>
          </w:tcPr>
          <w:p w14:paraId="060DE847" w14:textId="77777777" w:rsidR="005D440A" w:rsidRPr="00CF4317" w:rsidRDefault="005D440A" w:rsidP="007C3905">
            <w:pPr>
              <w:spacing w:after="0" w:line="240" w:lineRule="auto"/>
              <w:rPr>
                <w:rFonts w:eastAsia="Times New Roman" w:cstheme="minorHAnsi"/>
                <w:color w:val="212529"/>
                <w:sz w:val="24"/>
                <w:szCs w:val="24"/>
              </w:rPr>
            </w:pPr>
            <w:r w:rsidRPr="00CF4317">
              <w:rPr>
                <w:rFonts w:ascii="Segoe UI Symbol" w:eastAsia="Times New Roman" w:hAnsi="Segoe UI Symbol" w:cs="Segoe UI Symbol"/>
                <w:color w:val="212529"/>
                <w:sz w:val="24"/>
                <w:szCs w:val="24"/>
              </w:rPr>
              <w:t>✔</w:t>
            </w:r>
          </w:p>
        </w:tc>
      </w:tr>
      <w:tr w:rsidR="005D440A" w:rsidRPr="00CF4317" w14:paraId="3DAF1F81" w14:textId="77777777" w:rsidTr="005D440A">
        <w:tc>
          <w:tcPr>
            <w:tcW w:w="0" w:type="auto"/>
            <w:tcBorders>
              <w:top w:val="nil"/>
              <w:left w:val="nil"/>
              <w:bottom w:val="single" w:sz="6" w:space="0" w:color="BDC1C2"/>
              <w:right w:val="nil"/>
            </w:tcBorders>
            <w:hideMark/>
          </w:tcPr>
          <w:p w14:paraId="04E3006F" w14:textId="77777777" w:rsidR="005D440A" w:rsidRPr="00CF4317" w:rsidRDefault="005D440A" w:rsidP="007C3905">
            <w:pPr>
              <w:spacing w:after="0" w:line="240" w:lineRule="auto"/>
              <w:rPr>
                <w:rFonts w:eastAsia="Times New Roman" w:cstheme="minorHAnsi"/>
                <w:color w:val="212529"/>
                <w:sz w:val="24"/>
                <w:szCs w:val="24"/>
              </w:rPr>
            </w:pPr>
            <w:r w:rsidRPr="00CF4317">
              <w:rPr>
                <w:rFonts w:eastAsia="Times New Roman" w:cstheme="minorHAnsi"/>
                <w:color w:val="212529"/>
                <w:sz w:val="24"/>
                <w:szCs w:val="24"/>
              </w:rPr>
              <w:t>Digital certificate-based signature</w:t>
            </w:r>
          </w:p>
        </w:tc>
        <w:tc>
          <w:tcPr>
            <w:tcW w:w="0" w:type="auto"/>
            <w:tcBorders>
              <w:top w:val="nil"/>
              <w:left w:val="nil"/>
              <w:bottom w:val="single" w:sz="6" w:space="0" w:color="BDC1C2"/>
              <w:right w:val="nil"/>
            </w:tcBorders>
            <w:hideMark/>
          </w:tcPr>
          <w:p w14:paraId="13945C8C" w14:textId="77777777" w:rsidR="005D440A" w:rsidRPr="00CF4317" w:rsidRDefault="005D440A" w:rsidP="007C3905">
            <w:pPr>
              <w:spacing w:after="0" w:line="240" w:lineRule="auto"/>
              <w:rPr>
                <w:rFonts w:eastAsia="Times New Roman" w:cstheme="minorHAnsi"/>
                <w:color w:val="212529"/>
                <w:sz w:val="24"/>
                <w:szCs w:val="24"/>
              </w:rPr>
            </w:pPr>
            <w:r w:rsidRPr="00CF4317">
              <w:rPr>
                <w:rFonts w:eastAsia="Times New Roman" w:cstheme="minorHAnsi"/>
                <w:b/>
                <w:bCs/>
                <w:color w:val="212529"/>
                <w:sz w:val="24"/>
                <w:szCs w:val="24"/>
              </w:rPr>
              <w:t>X</w:t>
            </w:r>
          </w:p>
        </w:tc>
      </w:tr>
      <w:tr w:rsidR="005D440A" w:rsidRPr="00CF4317" w14:paraId="779F8D45" w14:textId="77777777" w:rsidTr="005D440A">
        <w:tc>
          <w:tcPr>
            <w:tcW w:w="0" w:type="auto"/>
            <w:tcBorders>
              <w:top w:val="nil"/>
              <w:left w:val="nil"/>
              <w:bottom w:val="single" w:sz="6" w:space="0" w:color="BDC1C2"/>
              <w:right w:val="nil"/>
            </w:tcBorders>
            <w:hideMark/>
          </w:tcPr>
          <w:p w14:paraId="02587DFF" w14:textId="77777777" w:rsidR="005D440A" w:rsidRPr="00CF4317" w:rsidRDefault="005D440A" w:rsidP="007C3905">
            <w:pPr>
              <w:spacing w:after="0" w:line="240" w:lineRule="auto"/>
              <w:rPr>
                <w:rFonts w:eastAsia="Times New Roman" w:cstheme="minorHAnsi"/>
                <w:color w:val="212529"/>
                <w:sz w:val="24"/>
                <w:szCs w:val="24"/>
              </w:rPr>
            </w:pPr>
            <w:r w:rsidRPr="00CF4317">
              <w:rPr>
                <w:rFonts w:eastAsia="Times New Roman" w:cstheme="minorHAnsi"/>
                <w:color w:val="212529"/>
                <w:sz w:val="24"/>
                <w:szCs w:val="24"/>
              </w:rPr>
              <w:t>A wet signature that was drawn in ink and sent to us in its original format</w:t>
            </w:r>
          </w:p>
        </w:tc>
        <w:tc>
          <w:tcPr>
            <w:tcW w:w="0" w:type="auto"/>
            <w:tcBorders>
              <w:top w:val="nil"/>
              <w:left w:val="nil"/>
              <w:bottom w:val="single" w:sz="6" w:space="0" w:color="BDC1C2"/>
              <w:right w:val="nil"/>
            </w:tcBorders>
            <w:hideMark/>
          </w:tcPr>
          <w:p w14:paraId="17E642DB" w14:textId="77777777" w:rsidR="005D440A" w:rsidRPr="00CF4317" w:rsidRDefault="005D440A" w:rsidP="007C3905">
            <w:pPr>
              <w:spacing w:after="0" w:line="240" w:lineRule="auto"/>
              <w:rPr>
                <w:rFonts w:eastAsia="Times New Roman" w:cstheme="minorHAnsi"/>
                <w:color w:val="212529"/>
                <w:sz w:val="24"/>
                <w:szCs w:val="24"/>
              </w:rPr>
            </w:pPr>
            <w:r w:rsidRPr="00CF4317">
              <w:rPr>
                <w:rFonts w:ascii="Segoe UI Symbol" w:eastAsia="Times New Roman" w:hAnsi="Segoe UI Symbol" w:cs="Segoe UI Symbol"/>
                <w:color w:val="212529"/>
                <w:sz w:val="24"/>
                <w:szCs w:val="24"/>
              </w:rPr>
              <w:t>✔</w:t>
            </w:r>
          </w:p>
        </w:tc>
      </w:tr>
    </w:tbl>
    <w:p w14:paraId="40776BFE" w14:textId="77777777" w:rsidR="00CF4317" w:rsidRDefault="00CF4317" w:rsidP="00CF4317">
      <w:pPr>
        <w:shd w:val="clear" w:color="auto" w:fill="FFFFFF"/>
        <w:spacing w:after="100" w:afterAutospacing="1" w:line="240" w:lineRule="auto"/>
        <w:ind w:left="2520"/>
        <w:rPr>
          <w:rFonts w:ascii="Noto Serif" w:eastAsia="Times New Roman" w:hAnsi="Noto Serif" w:cs="Noto Serif"/>
          <w:color w:val="212529"/>
          <w:sz w:val="24"/>
          <w:szCs w:val="24"/>
        </w:rPr>
      </w:pPr>
    </w:p>
    <w:p w14:paraId="362C4407" w14:textId="4DEA5A3A" w:rsidR="00FB18E6" w:rsidRPr="00FB18E6" w:rsidRDefault="00FB18E6" w:rsidP="00FB18E6">
      <w:pPr>
        <w:pStyle w:val="ListParagraph"/>
        <w:ind w:left="2160"/>
        <w:jc w:val="both"/>
        <w:rPr>
          <w:rStyle w:val="Hyperlink"/>
          <w:rFonts w:cstheme="minorHAnsi"/>
          <w:b/>
          <w:bCs/>
          <w:color w:val="212529"/>
          <w:sz w:val="24"/>
          <w:szCs w:val="24"/>
          <w:u w:val="none"/>
        </w:rPr>
      </w:pPr>
      <w:r>
        <w:rPr>
          <w:rStyle w:val="Hyperlink"/>
          <w:rFonts w:cstheme="minorHAnsi"/>
          <w:b/>
          <w:bCs/>
          <w:color w:val="212529"/>
          <w:sz w:val="24"/>
          <w:szCs w:val="24"/>
          <w:u w:val="none"/>
        </w:rPr>
        <w:t xml:space="preserve">USE THESE NOTES WHEN FILING THE PSLF CERTIFICATION AND </w:t>
      </w:r>
      <w:r w:rsidRPr="00FB18E6">
        <w:rPr>
          <w:rStyle w:val="Hyperlink"/>
          <w:rFonts w:cstheme="minorHAnsi"/>
          <w:b/>
          <w:bCs/>
          <w:color w:val="212529"/>
          <w:sz w:val="24"/>
          <w:szCs w:val="24"/>
        </w:rPr>
        <w:t>APPLICATION FORM MANUALLY</w:t>
      </w:r>
    </w:p>
    <w:p w14:paraId="52BE494C" w14:textId="5A8B89A4" w:rsidR="001458A0" w:rsidRPr="00B828D9" w:rsidRDefault="001458A0" w:rsidP="001458A0">
      <w:pPr>
        <w:pStyle w:val="ListParagraph"/>
        <w:numPr>
          <w:ilvl w:val="2"/>
          <w:numId w:val="2"/>
        </w:numPr>
        <w:jc w:val="both"/>
        <w:rPr>
          <w:rStyle w:val="Hyperlink"/>
          <w:rFonts w:cstheme="minorHAnsi"/>
          <w:b/>
          <w:bCs/>
          <w:color w:val="212529"/>
          <w:sz w:val="24"/>
          <w:szCs w:val="24"/>
          <w:u w:val="none"/>
        </w:rPr>
      </w:pPr>
      <w:r w:rsidRPr="00B828D9">
        <w:rPr>
          <w:rStyle w:val="Hyperlink"/>
          <w:rFonts w:cstheme="minorHAnsi"/>
          <w:color w:val="000000" w:themeColor="text1"/>
          <w:sz w:val="24"/>
          <w:szCs w:val="24"/>
          <w:u w:val="none"/>
        </w:rPr>
        <w:t>Start tracking your qualifying payments by filing the</w:t>
      </w:r>
      <w:r w:rsidRPr="00B828D9">
        <w:rPr>
          <w:rStyle w:val="Hyperlink"/>
          <w:rFonts w:cstheme="minorHAnsi"/>
          <w:color w:val="000000" w:themeColor="text1"/>
          <w:sz w:val="24"/>
          <w:szCs w:val="24"/>
        </w:rPr>
        <w:t xml:space="preserve"> </w:t>
      </w:r>
      <w:hyperlink r:id="rId14" w:history="1">
        <w:r w:rsidRPr="00B828D9">
          <w:rPr>
            <w:rStyle w:val="Hyperlink"/>
            <w:rFonts w:cstheme="minorHAnsi"/>
            <w:sz w:val="24"/>
            <w:szCs w:val="24"/>
          </w:rPr>
          <w:t>PSLF Certification and Application Form</w:t>
        </w:r>
      </w:hyperlink>
      <w:r>
        <w:rPr>
          <w:rStyle w:val="Hyperlink"/>
          <w:rFonts w:cstheme="minorHAnsi"/>
          <w:sz w:val="24"/>
          <w:szCs w:val="24"/>
        </w:rPr>
        <w:t>.</w:t>
      </w:r>
    </w:p>
    <w:p w14:paraId="690ECA17" w14:textId="77777777" w:rsidR="001458A0" w:rsidRPr="00B828D9" w:rsidRDefault="001458A0" w:rsidP="001458A0">
      <w:pPr>
        <w:pStyle w:val="ListParagraph"/>
        <w:numPr>
          <w:ilvl w:val="3"/>
          <w:numId w:val="2"/>
        </w:numPr>
        <w:jc w:val="both"/>
        <w:rPr>
          <w:rStyle w:val="Hyperlink"/>
          <w:rFonts w:cstheme="minorHAnsi"/>
          <w:b/>
          <w:bCs/>
          <w:color w:val="212529"/>
          <w:sz w:val="24"/>
          <w:szCs w:val="24"/>
          <w:u w:val="none"/>
        </w:rPr>
      </w:pPr>
      <w:bookmarkStart w:id="4" w:name="_Hlk89192355"/>
      <w:r>
        <w:rPr>
          <w:rStyle w:val="Hyperlink"/>
          <w:rFonts w:cstheme="minorHAnsi"/>
          <w:color w:val="000000" w:themeColor="text1"/>
          <w:sz w:val="24"/>
          <w:szCs w:val="24"/>
          <w:u w:val="none"/>
        </w:rPr>
        <w:t xml:space="preserve">You fill out page 1.  </w:t>
      </w:r>
    </w:p>
    <w:p w14:paraId="776BBA41" w14:textId="77777777" w:rsidR="001458A0" w:rsidRPr="003979DD" w:rsidRDefault="001458A0" w:rsidP="001458A0">
      <w:pPr>
        <w:pStyle w:val="ListParagraph"/>
        <w:numPr>
          <w:ilvl w:val="4"/>
          <w:numId w:val="2"/>
        </w:numPr>
        <w:jc w:val="both"/>
        <w:rPr>
          <w:rStyle w:val="Hyperlink"/>
          <w:rFonts w:cstheme="minorHAnsi"/>
          <w:b/>
          <w:bCs/>
          <w:color w:val="212529"/>
          <w:sz w:val="24"/>
          <w:szCs w:val="24"/>
          <w:u w:val="none"/>
        </w:rPr>
      </w:pPr>
      <w:r>
        <w:rPr>
          <w:rStyle w:val="Hyperlink"/>
          <w:rFonts w:cstheme="minorHAnsi"/>
          <w:color w:val="000000" w:themeColor="text1"/>
          <w:sz w:val="24"/>
          <w:szCs w:val="24"/>
          <w:u w:val="none"/>
        </w:rPr>
        <w:t xml:space="preserve">In section 2, you will check the first box “I just want to find out how many qualifying payments…” until you think you </w:t>
      </w:r>
      <w:r>
        <w:rPr>
          <w:rStyle w:val="Hyperlink"/>
          <w:rFonts w:cstheme="minorHAnsi"/>
          <w:color w:val="000000" w:themeColor="text1"/>
          <w:sz w:val="24"/>
          <w:szCs w:val="24"/>
          <w:u w:val="none"/>
        </w:rPr>
        <w:lastRenderedPageBreak/>
        <w:t>have made all 120 qualifying payments.  At that point, you will check the second box “I believe I qualify for forgiveness…”</w:t>
      </w:r>
    </w:p>
    <w:p w14:paraId="7AD55103" w14:textId="77777777" w:rsidR="001458A0" w:rsidRPr="003979DD" w:rsidRDefault="001458A0" w:rsidP="001458A0">
      <w:pPr>
        <w:pStyle w:val="ListParagraph"/>
        <w:numPr>
          <w:ilvl w:val="4"/>
          <w:numId w:val="2"/>
        </w:numPr>
        <w:jc w:val="both"/>
        <w:rPr>
          <w:rStyle w:val="Hyperlink"/>
          <w:rFonts w:cstheme="minorHAnsi"/>
          <w:b/>
          <w:bCs/>
          <w:color w:val="212529"/>
          <w:sz w:val="24"/>
          <w:szCs w:val="24"/>
          <w:u w:val="none"/>
        </w:rPr>
      </w:pPr>
      <w:r>
        <w:rPr>
          <w:rStyle w:val="Hyperlink"/>
          <w:rFonts w:cstheme="minorHAnsi"/>
          <w:color w:val="000000" w:themeColor="text1"/>
          <w:sz w:val="24"/>
          <w:szCs w:val="24"/>
          <w:u w:val="none"/>
        </w:rPr>
        <w:t>Be sure to sign and date the bottom of the page.</w:t>
      </w:r>
    </w:p>
    <w:p w14:paraId="6491D49A" w14:textId="77777777" w:rsidR="001458A0" w:rsidRPr="003979DD" w:rsidRDefault="001458A0" w:rsidP="001458A0">
      <w:pPr>
        <w:pStyle w:val="ListParagraph"/>
        <w:numPr>
          <w:ilvl w:val="3"/>
          <w:numId w:val="2"/>
        </w:numPr>
        <w:jc w:val="both"/>
        <w:rPr>
          <w:rStyle w:val="Hyperlink"/>
          <w:rFonts w:cstheme="minorHAnsi"/>
          <w:b/>
          <w:bCs/>
          <w:color w:val="212529"/>
          <w:sz w:val="24"/>
          <w:szCs w:val="24"/>
          <w:u w:val="none"/>
        </w:rPr>
      </w:pPr>
      <w:r>
        <w:rPr>
          <w:rStyle w:val="Hyperlink"/>
          <w:rFonts w:cstheme="minorHAnsi"/>
          <w:color w:val="000000" w:themeColor="text1"/>
          <w:sz w:val="24"/>
          <w:szCs w:val="24"/>
          <w:u w:val="none"/>
        </w:rPr>
        <w:t>The Employer fills out page 2.</w:t>
      </w:r>
    </w:p>
    <w:p w14:paraId="4996032B" w14:textId="77777777" w:rsidR="001458A0" w:rsidRPr="00C01689" w:rsidRDefault="001458A0" w:rsidP="001458A0">
      <w:pPr>
        <w:pStyle w:val="ListParagraph"/>
        <w:numPr>
          <w:ilvl w:val="4"/>
          <w:numId w:val="2"/>
        </w:numPr>
        <w:jc w:val="both"/>
        <w:rPr>
          <w:rStyle w:val="Hyperlink"/>
          <w:rFonts w:cstheme="minorHAnsi"/>
          <w:color w:val="212529"/>
          <w:sz w:val="24"/>
          <w:szCs w:val="24"/>
          <w:u w:val="none"/>
        </w:rPr>
      </w:pPr>
      <w:r w:rsidRPr="00C01689">
        <w:rPr>
          <w:rStyle w:val="Hyperlink"/>
          <w:rFonts w:cstheme="minorHAnsi"/>
          <w:color w:val="212529"/>
          <w:sz w:val="24"/>
          <w:szCs w:val="24"/>
          <w:u w:val="none"/>
        </w:rPr>
        <w:t>Make sure your name and SSN are at the top of the page.</w:t>
      </w:r>
    </w:p>
    <w:p w14:paraId="1B045FB1" w14:textId="77777777" w:rsidR="001458A0" w:rsidRPr="003979DD" w:rsidRDefault="001458A0" w:rsidP="001458A0">
      <w:pPr>
        <w:pStyle w:val="ListParagraph"/>
        <w:numPr>
          <w:ilvl w:val="4"/>
          <w:numId w:val="2"/>
        </w:numPr>
        <w:jc w:val="both"/>
        <w:rPr>
          <w:rStyle w:val="Hyperlink"/>
          <w:rFonts w:cstheme="minorHAnsi"/>
          <w:b/>
          <w:bCs/>
          <w:color w:val="212529"/>
          <w:sz w:val="24"/>
          <w:szCs w:val="24"/>
          <w:u w:val="none"/>
        </w:rPr>
      </w:pPr>
      <w:r>
        <w:rPr>
          <w:rStyle w:val="Hyperlink"/>
          <w:rFonts w:cstheme="minorHAnsi"/>
          <w:color w:val="000000" w:themeColor="text1"/>
          <w:sz w:val="24"/>
          <w:szCs w:val="24"/>
          <w:u w:val="none"/>
        </w:rPr>
        <w:t>In section 3, make sure they put an exact employment start and end date (or check the “Still Employed” box).  Month and year alone will be rejected.</w:t>
      </w:r>
    </w:p>
    <w:p w14:paraId="11D7BF54" w14:textId="77777777" w:rsidR="001458A0" w:rsidRDefault="001458A0" w:rsidP="001458A0">
      <w:pPr>
        <w:pStyle w:val="ListParagraph"/>
        <w:numPr>
          <w:ilvl w:val="4"/>
          <w:numId w:val="2"/>
        </w:numPr>
        <w:jc w:val="both"/>
        <w:rPr>
          <w:rStyle w:val="Hyperlink"/>
          <w:rFonts w:cstheme="minorHAnsi"/>
          <w:color w:val="212529"/>
          <w:sz w:val="24"/>
          <w:szCs w:val="24"/>
          <w:u w:val="none"/>
        </w:rPr>
      </w:pPr>
      <w:r w:rsidRPr="003979DD">
        <w:rPr>
          <w:rStyle w:val="Hyperlink"/>
          <w:rFonts w:cstheme="minorHAnsi"/>
          <w:color w:val="212529"/>
          <w:sz w:val="24"/>
          <w:szCs w:val="24"/>
          <w:u w:val="none"/>
        </w:rPr>
        <w:t>In section 4, make sure they fill out everything.  Just signing and dating here will cause the form to be rejected.</w:t>
      </w:r>
    </w:p>
    <w:p w14:paraId="1CD3AB92" w14:textId="77777777" w:rsidR="001458A0" w:rsidRDefault="001458A0" w:rsidP="001458A0">
      <w:pPr>
        <w:pStyle w:val="ListParagraph"/>
        <w:numPr>
          <w:ilvl w:val="3"/>
          <w:numId w:val="2"/>
        </w:numPr>
        <w:jc w:val="both"/>
        <w:rPr>
          <w:rStyle w:val="Hyperlink"/>
          <w:rFonts w:cstheme="minorHAnsi"/>
          <w:color w:val="212529"/>
          <w:sz w:val="24"/>
          <w:szCs w:val="24"/>
          <w:u w:val="none"/>
        </w:rPr>
      </w:pPr>
      <w:r>
        <w:rPr>
          <w:rStyle w:val="Hyperlink"/>
          <w:rFonts w:cstheme="minorHAnsi"/>
          <w:color w:val="212529"/>
          <w:sz w:val="24"/>
          <w:szCs w:val="24"/>
          <w:u w:val="none"/>
        </w:rPr>
        <w:t xml:space="preserve">Upload completed forms on your </w:t>
      </w:r>
      <w:hyperlink r:id="rId15" w:history="1">
        <w:r w:rsidRPr="003979DD">
          <w:rPr>
            <w:rStyle w:val="Hyperlink"/>
            <w:rFonts w:cstheme="minorHAnsi"/>
            <w:sz w:val="24"/>
            <w:szCs w:val="24"/>
          </w:rPr>
          <w:t>MyFedloan</w:t>
        </w:r>
      </w:hyperlink>
      <w:r>
        <w:rPr>
          <w:rStyle w:val="Hyperlink"/>
          <w:rFonts w:cstheme="minorHAnsi"/>
          <w:color w:val="212529"/>
          <w:sz w:val="24"/>
          <w:szCs w:val="24"/>
          <w:u w:val="none"/>
        </w:rPr>
        <w:t xml:space="preserve"> account or send by mail or fax if Fedloan is not your servicer (see section 7 for mailing/faxing details).</w:t>
      </w:r>
    </w:p>
    <w:p w14:paraId="7F69C066" w14:textId="1225116A" w:rsidR="001458A0" w:rsidRDefault="001458A0" w:rsidP="001458A0">
      <w:pPr>
        <w:pStyle w:val="ListParagraph"/>
        <w:numPr>
          <w:ilvl w:val="3"/>
          <w:numId w:val="2"/>
        </w:numPr>
        <w:jc w:val="both"/>
        <w:rPr>
          <w:rStyle w:val="Hyperlink"/>
          <w:rFonts w:cstheme="minorHAnsi"/>
          <w:color w:val="212529"/>
          <w:sz w:val="24"/>
          <w:szCs w:val="24"/>
          <w:u w:val="none"/>
        </w:rPr>
      </w:pPr>
      <w:r w:rsidRPr="00141328">
        <w:rPr>
          <w:rStyle w:val="Hyperlink"/>
          <w:rFonts w:cstheme="minorHAnsi"/>
          <w:color w:val="212529"/>
          <w:sz w:val="24"/>
          <w:szCs w:val="24"/>
          <w:u w:val="none"/>
        </w:rPr>
        <w:t>File this form annually and when you change jobs.  Dispute results you disagree with immediately!</w:t>
      </w:r>
    </w:p>
    <w:bookmarkEnd w:id="3"/>
    <w:bookmarkEnd w:id="4"/>
    <w:p w14:paraId="1453C63B" w14:textId="77777777" w:rsidR="00C03526" w:rsidRPr="00C03526" w:rsidRDefault="00C03526" w:rsidP="00C03526">
      <w:pPr>
        <w:pStyle w:val="ListParagraph"/>
        <w:ind w:left="3600"/>
        <w:jc w:val="both"/>
        <w:rPr>
          <w:rFonts w:cstheme="minorHAnsi"/>
          <w:b/>
          <w:bCs/>
          <w:color w:val="212529"/>
          <w:sz w:val="24"/>
          <w:szCs w:val="24"/>
        </w:rPr>
      </w:pPr>
    </w:p>
    <w:p w14:paraId="44947FCC" w14:textId="76C0CBFD" w:rsidR="001458A0" w:rsidRPr="00963743" w:rsidRDefault="00C03526" w:rsidP="001458A0">
      <w:pPr>
        <w:pStyle w:val="ListParagraph"/>
        <w:numPr>
          <w:ilvl w:val="1"/>
          <w:numId w:val="2"/>
        </w:numPr>
        <w:jc w:val="both"/>
        <w:rPr>
          <w:rFonts w:cstheme="minorHAnsi"/>
          <w:color w:val="212529"/>
          <w:sz w:val="24"/>
          <w:szCs w:val="24"/>
        </w:rPr>
      </w:pPr>
      <w:r>
        <w:rPr>
          <w:rFonts w:cstheme="minorHAnsi"/>
          <w:color w:val="212529"/>
          <w:sz w:val="24"/>
          <w:szCs w:val="24"/>
        </w:rPr>
        <w:t>Next Steps/</w:t>
      </w:r>
      <w:r w:rsidR="00FB18E6">
        <w:rPr>
          <w:rFonts w:cstheme="minorHAnsi"/>
          <w:color w:val="212529"/>
          <w:sz w:val="24"/>
          <w:szCs w:val="24"/>
        </w:rPr>
        <w:t>Strategy</w:t>
      </w:r>
      <w:r w:rsidR="001458A0" w:rsidRPr="00963743">
        <w:rPr>
          <w:rFonts w:cstheme="minorHAnsi"/>
          <w:color w:val="212529"/>
          <w:sz w:val="24"/>
          <w:szCs w:val="24"/>
        </w:rPr>
        <w:t>:</w:t>
      </w:r>
    </w:p>
    <w:p w14:paraId="0FF780B7" w14:textId="2465F33A" w:rsidR="001458A0" w:rsidRPr="000C3085" w:rsidRDefault="001458A0" w:rsidP="001458A0">
      <w:pPr>
        <w:pStyle w:val="ListParagraph"/>
        <w:numPr>
          <w:ilvl w:val="2"/>
          <w:numId w:val="2"/>
        </w:numPr>
        <w:jc w:val="both"/>
        <w:rPr>
          <w:b/>
          <w:bCs/>
          <w:sz w:val="24"/>
          <w:szCs w:val="24"/>
          <w:u w:val="single"/>
        </w:rPr>
      </w:pPr>
      <w:r>
        <w:rPr>
          <w:rFonts w:cstheme="minorHAnsi"/>
          <w:color w:val="212529"/>
          <w:sz w:val="24"/>
          <w:szCs w:val="24"/>
        </w:rPr>
        <w:t xml:space="preserve">We are setting your required payment as low as possible.  This gives you flexibility.  You can make more than the required payment if you wish but are not required to do so if you can’t or don’t want to.  </w:t>
      </w:r>
    </w:p>
    <w:p w14:paraId="7630C58B" w14:textId="7F983FE9" w:rsidR="000C3085" w:rsidRPr="007950A0" w:rsidRDefault="000C3085" w:rsidP="001458A0">
      <w:pPr>
        <w:pStyle w:val="ListParagraph"/>
        <w:numPr>
          <w:ilvl w:val="2"/>
          <w:numId w:val="2"/>
        </w:numPr>
        <w:jc w:val="both"/>
        <w:rPr>
          <w:b/>
          <w:bCs/>
          <w:sz w:val="24"/>
          <w:szCs w:val="24"/>
          <w:u w:val="single"/>
        </w:rPr>
      </w:pPr>
      <w:r>
        <w:rPr>
          <w:rFonts w:cstheme="minorHAnsi"/>
          <w:color w:val="212529"/>
          <w:sz w:val="24"/>
          <w:szCs w:val="24"/>
        </w:rPr>
        <w:t>While you are pursuing PSLF, you</w:t>
      </w:r>
      <w:r w:rsidR="003234BE">
        <w:rPr>
          <w:rFonts w:cstheme="minorHAnsi"/>
          <w:color w:val="212529"/>
          <w:sz w:val="24"/>
          <w:szCs w:val="24"/>
        </w:rPr>
        <w:t xml:space="preserve">r strategy should be to make the minimum required payments until such time as your loan balance is forgiven.  Unless there is a reasonable expectation that you can pay the entire balance off faster than you can achieve forgiveness, it does not make sense to make extra payments.  </w:t>
      </w:r>
    </w:p>
    <w:p w14:paraId="2511AA86" w14:textId="77777777" w:rsidR="001458A0" w:rsidRPr="007950A0" w:rsidRDefault="001458A0" w:rsidP="001458A0">
      <w:pPr>
        <w:pStyle w:val="ListParagraph"/>
        <w:numPr>
          <w:ilvl w:val="2"/>
          <w:numId w:val="2"/>
        </w:numPr>
        <w:jc w:val="both"/>
        <w:rPr>
          <w:b/>
          <w:bCs/>
          <w:sz w:val="24"/>
          <w:szCs w:val="24"/>
          <w:u w:val="single"/>
        </w:rPr>
      </w:pPr>
      <w:r>
        <w:rPr>
          <w:rFonts w:cstheme="minorHAnsi"/>
          <w:color w:val="212529"/>
          <w:sz w:val="24"/>
          <w:szCs w:val="24"/>
        </w:rPr>
        <w:t>If you choose to pay more than the required amount, contact your servicer and tell them you want the extra payments applied to principal.  They will pay any unpaid interest balance first, then apply the rest to principal.  You want to avoid being in “Pay-Ahead” status!</w:t>
      </w:r>
    </w:p>
    <w:p w14:paraId="31C79971" w14:textId="01878F47" w:rsidR="001458A0" w:rsidRPr="00C820CB" w:rsidRDefault="001458A0" w:rsidP="001458A0">
      <w:pPr>
        <w:pStyle w:val="ListParagraph"/>
        <w:numPr>
          <w:ilvl w:val="2"/>
          <w:numId w:val="2"/>
        </w:numPr>
        <w:jc w:val="both"/>
        <w:rPr>
          <w:b/>
          <w:bCs/>
          <w:sz w:val="24"/>
          <w:szCs w:val="24"/>
          <w:u w:val="single"/>
        </w:rPr>
      </w:pPr>
      <w:r>
        <w:rPr>
          <w:rFonts w:cstheme="minorHAnsi"/>
          <w:color w:val="212529"/>
          <w:sz w:val="24"/>
          <w:szCs w:val="24"/>
        </w:rPr>
        <w:t>Note: If your payment doesn’t at least cover the interest, the principal will not decline</w:t>
      </w:r>
      <w:r w:rsidR="00720DD7">
        <w:rPr>
          <w:rFonts w:cstheme="minorHAnsi"/>
          <w:color w:val="212529"/>
          <w:sz w:val="24"/>
          <w:szCs w:val="24"/>
        </w:rPr>
        <w:t>,</w:t>
      </w:r>
      <w:r>
        <w:rPr>
          <w:rFonts w:cstheme="minorHAnsi"/>
          <w:color w:val="212529"/>
          <w:sz w:val="24"/>
          <w:szCs w:val="24"/>
        </w:rPr>
        <w:t xml:space="preserve"> interest </w:t>
      </w:r>
      <w:r w:rsidR="00720DD7">
        <w:rPr>
          <w:rFonts w:cstheme="minorHAnsi"/>
          <w:color w:val="212529"/>
          <w:sz w:val="24"/>
          <w:szCs w:val="24"/>
        </w:rPr>
        <w:t>will</w:t>
      </w:r>
      <w:r>
        <w:rPr>
          <w:rFonts w:cstheme="minorHAnsi"/>
          <w:color w:val="212529"/>
          <w:sz w:val="24"/>
          <w:szCs w:val="24"/>
        </w:rPr>
        <w:t xml:space="preserve"> </w:t>
      </w:r>
      <w:r w:rsidR="00720DD7">
        <w:rPr>
          <w:rFonts w:cstheme="minorHAnsi"/>
          <w:color w:val="212529"/>
          <w:sz w:val="24"/>
          <w:szCs w:val="24"/>
        </w:rPr>
        <w:t>accrue, and the total balance will increase</w:t>
      </w:r>
      <w:r>
        <w:rPr>
          <w:rFonts w:cstheme="minorHAnsi"/>
          <w:color w:val="212529"/>
          <w:sz w:val="24"/>
          <w:szCs w:val="24"/>
        </w:rPr>
        <w:t>.  I estimate the current monthly interest on your loans is about XXXX. If you want to make monthly payments to cover the interest, contact your servicer to confirm this number.</w:t>
      </w:r>
    </w:p>
    <w:p w14:paraId="515657D2" w14:textId="77777777" w:rsidR="001458A0" w:rsidRPr="007950A0" w:rsidRDefault="001458A0" w:rsidP="001458A0">
      <w:pPr>
        <w:pStyle w:val="ListParagraph"/>
        <w:numPr>
          <w:ilvl w:val="2"/>
          <w:numId w:val="2"/>
        </w:numPr>
        <w:jc w:val="both"/>
        <w:rPr>
          <w:b/>
          <w:bCs/>
          <w:sz w:val="24"/>
          <w:szCs w:val="24"/>
          <w:u w:val="single"/>
        </w:rPr>
      </w:pPr>
      <w:r w:rsidRPr="0058298A">
        <w:rPr>
          <w:rFonts w:cstheme="minorHAnsi"/>
          <w:color w:val="212529"/>
          <w:sz w:val="24"/>
          <w:szCs w:val="24"/>
        </w:rPr>
        <w:lastRenderedPageBreak/>
        <w:t>Going forward, avoid going into deferment or forbearance whenever possible.  Remain in your IDR plan and make the minimum required payment.  You can have the payment recalculated at any time if your income declines.  This will keep interest from capitalizing and your payments will be eligible for forgiveness programs you may be pursuing</w:t>
      </w:r>
      <w:r>
        <w:rPr>
          <w:rFonts w:cstheme="minorHAnsi"/>
          <w:color w:val="212529"/>
          <w:sz w:val="24"/>
          <w:szCs w:val="24"/>
        </w:rPr>
        <w:t>.</w:t>
      </w:r>
    </w:p>
    <w:p w14:paraId="7873EFF9" w14:textId="77777777" w:rsidR="001458A0" w:rsidRPr="00902D5E" w:rsidRDefault="001458A0" w:rsidP="001458A0">
      <w:pPr>
        <w:pStyle w:val="ListParagraph"/>
        <w:ind w:left="2160"/>
        <w:jc w:val="both"/>
        <w:rPr>
          <w:b/>
          <w:bCs/>
          <w:sz w:val="24"/>
          <w:szCs w:val="24"/>
          <w:u w:val="single"/>
        </w:rPr>
      </w:pPr>
    </w:p>
    <w:bookmarkEnd w:id="1"/>
    <w:p w14:paraId="50A00C46" w14:textId="77777777" w:rsidR="001458A0" w:rsidRDefault="001458A0" w:rsidP="00FB18E6">
      <w:pPr>
        <w:pStyle w:val="ListParagraph"/>
        <w:ind w:left="1440"/>
        <w:jc w:val="both"/>
        <w:rPr>
          <w:rFonts w:cstheme="minorHAnsi"/>
          <w:color w:val="212529"/>
          <w:sz w:val="24"/>
          <w:szCs w:val="24"/>
        </w:rPr>
      </w:pPr>
    </w:p>
    <w:sectPr w:rsidR="001458A0" w:rsidSect="00FA618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0E9A1" w14:textId="77777777" w:rsidR="008417B7" w:rsidRDefault="008417B7" w:rsidP="00FA6185">
      <w:pPr>
        <w:spacing w:after="0" w:line="240" w:lineRule="auto"/>
      </w:pPr>
      <w:r>
        <w:separator/>
      </w:r>
    </w:p>
  </w:endnote>
  <w:endnote w:type="continuationSeparator" w:id="0">
    <w:p w14:paraId="07273F09" w14:textId="77777777" w:rsidR="008417B7" w:rsidRDefault="008417B7" w:rsidP="00FA6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ews Cycle">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Noto Serif">
    <w:charset w:val="00"/>
    <w:family w:val="roman"/>
    <w:pitch w:val="variable"/>
    <w:sig w:usb0="E00002FF" w:usb1="500078FF" w:usb2="00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9C21" w14:textId="77777777" w:rsidR="00604B37" w:rsidRDefault="00604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2041" w14:textId="23F3F6C0" w:rsidR="002F3348" w:rsidRDefault="002F3348">
    <w:pPr>
      <w:pStyle w:val="Footer"/>
    </w:pPr>
  </w:p>
  <w:p w14:paraId="3488513E" w14:textId="78AF0F7C" w:rsidR="002F3348" w:rsidRDefault="00604B37">
    <w:pPr>
      <w:pStyle w:val="Footer"/>
    </w:pPr>
    <w:r>
      <w:rPr>
        <w:noProof/>
      </w:rPr>
      <w:drawing>
        <wp:inline distT="0" distB="0" distL="0" distR="0" wp14:anchorId="5A91B8B4" wp14:editId="7C894E36">
          <wp:extent cx="1422400" cy="400685"/>
          <wp:effectExtent l="0" t="0" r="6350" b="0"/>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400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BA56" w14:textId="77777777" w:rsidR="00604B37" w:rsidRDefault="00604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3DFA1" w14:textId="77777777" w:rsidR="008417B7" w:rsidRDefault="008417B7" w:rsidP="00FA6185">
      <w:pPr>
        <w:spacing w:after="0" w:line="240" w:lineRule="auto"/>
      </w:pPr>
      <w:r>
        <w:separator/>
      </w:r>
    </w:p>
  </w:footnote>
  <w:footnote w:type="continuationSeparator" w:id="0">
    <w:p w14:paraId="284965C5" w14:textId="77777777" w:rsidR="008417B7" w:rsidRDefault="008417B7" w:rsidP="00FA6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7E69" w14:textId="77777777" w:rsidR="00604B37" w:rsidRDefault="00604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1EB0" w14:textId="56E02854" w:rsidR="00FA6185" w:rsidRDefault="00FA6185">
    <w:pPr>
      <w:pStyle w:val="Header"/>
    </w:pPr>
    <w:r>
      <w:ptab w:relativeTo="margin" w:alignment="right" w:leader="none"/>
    </w:r>
    <w:r>
      <w:tab/>
    </w:r>
    <w:r>
      <w:tab/>
    </w:r>
    <w:r>
      <w:rPr>
        <w:b/>
        <w:bCs/>
        <w:noProof/>
        <w:sz w:val="24"/>
        <w:szCs w:val="24"/>
      </w:rPr>
      <w:drawing>
        <wp:inline distT="0" distB="0" distL="0" distR="0" wp14:anchorId="57A1E5A3" wp14:editId="064C014E">
          <wp:extent cx="113792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cap-logos_vertical-color (2).png"/>
                  <pic:cNvPicPr/>
                </pic:nvPicPr>
                <pic:blipFill>
                  <a:blip r:embed="rId1">
                    <a:extLst>
                      <a:ext uri="{28A0092B-C50C-407E-A947-70E740481C1C}">
                        <a14:useLocalDpi xmlns:a14="http://schemas.microsoft.com/office/drawing/2010/main" val="0"/>
                      </a:ext>
                    </a:extLst>
                  </a:blip>
                  <a:stretch>
                    <a:fillRect/>
                  </a:stretch>
                </pic:blipFill>
                <pic:spPr>
                  <a:xfrm>
                    <a:off x="0" y="0"/>
                    <a:ext cx="1138247" cy="876552"/>
                  </a:xfrm>
                  <a:prstGeom prst="rect">
                    <a:avLst/>
                  </a:prstGeom>
                </pic:spPr>
              </pic:pic>
            </a:graphicData>
          </a:graphic>
        </wp:inline>
      </w:drawing>
    </w:r>
  </w:p>
  <w:p w14:paraId="707809A9" w14:textId="45EE1CF7" w:rsidR="00D04681" w:rsidRPr="00D04681" w:rsidRDefault="0087009E" w:rsidP="00D04681">
    <w:pPr>
      <w:pStyle w:val="Header"/>
      <w:rPr>
        <w:b/>
        <w:bCs/>
      </w:rPr>
    </w:pPr>
    <w:r>
      <w:tab/>
      <w:t xml:space="preserve">                                                     </w:t>
    </w:r>
    <w:r w:rsidR="00D04681">
      <w:t xml:space="preserve">                                                                  </w:t>
    </w:r>
    <w:r>
      <w:t xml:space="preserve"> </w:t>
    </w:r>
  </w:p>
  <w:p w14:paraId="72D8D165" w14:textId="2F074E6C" w:rsidR="00D04681" w:rsidRPr="00D04681" w:rsidRDefault="00D04681">
    <w:pP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228E" w14:textId="77777777" w:rsidR="00604B37" w:rsidRDefault="00604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72A3"/>
    <w:multiLevelType w:val="hybridMultilevel"/>
    <w:tmpl w:val="30E89132"/>
    <w:lvl w:ilvl="0" w:tplc="F8B0003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12E9"/>
    <w:multiLevelType w:val="hybridMultilevel"/>
    <w:tmpl w:val="62A245D2"/>
    <w:lvl w:ilvl="0" w:tplc="F8B0003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B2C56"/>
    <w:multiLevelType w:val="hybridMultilevel"/>
    <w:tmpl w:val="47169DE2"/>
    <w:lvl w:ilvl="0" w:tplc="F8B0003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37F19"/>
    <w:multiLevelType w:val="hybridMultilevel"/>
    <w:tmpl w:val="52B8DFE8"/>
    <w:lvl w:ilvl="0" w:tplc="F8B0003E">
      <w:numFmt w:val="bullet"/>
      <w:lvlText w:val=""/>
      <w:lvlJc w:val="left"/>
      <w:pPr>
        <w:ind w:left="720" w:hanging="360"/>
      </w:pPr>
      <w:rPr>
        <w:rFonts w:ascii="Symbol" w:eastAsiaTheme="minorHAnsi" w:hAnsi="Symbol" w:cstheme="minorBidi"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B93AEF"/>
    <w:multiLevelType w:val="hybridMultilevel"/>
    <w:tmpl w:val="A0BA6B0E"/>
    <w:lvl w:ilvl="0" w:tplc="BA46B4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12472C"/>
    <w:multiLevelType w:val="hybridMultilevel"/>
    <w:tmpl w:val="6C28C0E0"/>
    <w:lvl w:ilvl="0" w:tplc="F8B0003E">
      <w:numFmt w:val="bullet"/>
      <w:lvlText w:val=""/>
      <w:lvlJc w:val="left"/>
      <w:pPr>
        <w:ind w:left="720" w:hanging="360"/>
      </w:pPr>
      <w:rPr>
        <w:rFonts w:ascii="Symbol" w:eastAsiaTheme="minorHAnsi" w:hAnsi="Symbol" w:cstheme="minorBidi"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169673">
    <w:abstractNumId w:val="4"/>
  </w:num>
  <w:num w:numId="2" w16cid:durableId="922956496">
    <w:abstractNumId w:val="1"/>
  </w:num>
  <w:num w:numId="3" w16cid:durableId="344669528">
    <w:abstractNumId w:val="2"/>
  </w:num>
  <w:num w:numId="4" w16cid:durableId="1513881957">
    <w:abstractNumId w:val="0"/>
  </w:num>
  <w:num w:numId="5" w16cid:durableId="1970670781">
    <w:abstractNumId w:val="5"/>
  </w:num>
  <w:num w:numId="6" w16cid:durableId="1641036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D2D"/>
    <w:rsid w:val="00000E10"/>
    <w:rsid w:val="00083603"/>
    <w:rsid w:val="000C3085"/>
    <w:rsid w:val="000D5BF3"/>
    <w:rsid w:val="000E3B1A"/>
    <w:rsid w:val="00117E7D"/>
    <w:rsid w:val="00137478"/>
    <w:rsid w:val="001458A0"/>
    <w:rsid w:val="00176535"/>
    <w:rsid w:val="001D329C"/>
    <w:rsid w:val="0020427D"/>
    <w:rsid w:val="002D5A5A"/>
    <w:rsid w:val="002F3348"/>
    <w:rsid w:val="003234BE"/>
    <w:rsid w:val="00332C99"/>
    <w:rsid w:val="00334B4F"/>
    <w:rsid w:val="00335C61"/>
    <w:rsid w:val="0034545E"/>
    <w:rsid w:val="00353E4B"/>
    <w:rsid w:val="00355777"/>
    <w:rsid w:val="0037138A"/>
    <w:rsid w:val="003A703B"/>
    <w:rsid w:val="003F3E08"/>
    <w:rsid w:val="00415BB4"/>
    <w:rsid w:val="00472250"/>
    <w:rsid w:val="004E0663"/>
    <w:rsid w:val="004F71D3"/>
    <w:rsid w:val="00504105"/>
    <w:rsid w:val="005328AA"/>
    <w:rsid w:val="00547D34"/>
    <w:rsid w:val="00563F6A"/>
    <w:rsid w:val="005735C8"/>
    <w:rsid w:val="005B4D49"/>
    <w:rsid w:val="005D440A"/>
    <w:rsid w:val="00604B37"/>
    <w:rsid w:val="00613F0D"/>
    <w:rsid w:val="00632CDF"/>
    <w:rsid w:val="00681D2D"/>
    <w:rsid w:val="006D2352"/>
    <w:rsid w:val="00720DD7"/>
    <w:rsid w:val="00727DE9"/>
    <w:rsid w:val="007612C3"/>
    <w:rsid w:val="00764B22"/>
    <w:rsid w:val="00792DDF"/>
    <w:rsid w:val="007A187B"/>
    <w:rsid w:val="008417B7"/>
    <w:rsid w:val="00845023"/>
    <w:rsid w:val="00853185"/>
    <w:rsid w:val="0087009E"/>
    <w:rsid w:val="008916F5"/>
    <w:rsid w:val="008C044B"/>
    <w:rsid w:val="00900728"/>
    <w:rsid w:val="009077BE"/>
    <w:rsid w:val="0091013C"/>
    <w:rsid w:val="00930B8A"/>
    <w:rsid w:val="0094089D"/>
    <w:rsid w:val="009450D9"/>
    <w:rsid w:val="009C4127"/>
    <w:rsid w:val="009C5E3F"/>
    <w:rsid w:val="009D6CD5"/>
    <w:rsid w:val="00A3258D"/>
    <w:rsid w:val="00A34189"/>
    <w:rsid w:val="00A35131"/>
    <w:rsid w:val="00A5296B"/>
    <w:rsid w:val="00AF58E7"/>
    <w:rsid w:val="00AF6438"/>
    <w:rsid w:val="00B05FEF"/>
    <w:rsid w:val="00B42719"/>
    <w:rsid w:val="00BB0C7B"/>
    <w:rsid w:val="00BB33CF"/>
    <w:rsid w:val="00BC547C"/>
    <w:rsid w:val="00BD4648"/>
    <w:rsid w:val="00C03526"/>
    <w:rsid w:val="00C176D4"/>
    <w:rsid w:val="00C41588"/>
    <w:rsid w:val="00C60F46"/>
    <w:rsid w:val="00CD06C2"/>
    <w:rsid w:val="00CE64DE"/>
    <w:rsid w:val="00CF4317"/>
    <w:rsid w:val="00D04170"/>
    <w:rsid w:val="00D04681"/>
    <w:rsid w:val="00DD74F0"/>
    <w:rsid w:val="00E31654"/>
    <w:rsid w:val="00E34641"/>
    <w:rsid w:val="00E50411"/>
    <w:rsid w:val="00E849DF"/>
    <w:rsid w:val="00EE7CF4"/>
    <w:rsid w:val="00F05DF3"/>
    <w:rsid w:val="00F06ECA"/>
    <w:rsid w:val="00F3566C"/>
    <w:rsid w:val="00F6778C"/>
    <w:rsid w:val="00FA6185"/>
    <w:rsid w:val="00FB18E6"/>
    <w:rsid w:val="00FC0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00D4C"/>
  <w15:chartTrackingRefBased/>
  <w15:docId w15:val="{1D5417B8-4858-479D-BBBC-E5B383D4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2C3"/>
    <w:pPr>
      <w:ind w:left="720"/>
      <w:contextualSpacing/>
    </w:pPr>
  </w:style>
  <w:style w:type="paragraph" w:customStyle="1" w:styleId="paragraph">
    <w:name w:val="paragraph"/>
    <w:basedOn w:val="Normal"/>
    <w:rsid w:val="00FA6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nline-block">
    <w:name w:val="d-inline-block"/>
    <w:basedOn w:val="DefaultParagraphFont"/>
    <w:rsid w:val="00FA6185"/>
  </w:style>
  <w:style w:type="character" w:styleId="Hyperlink">
    <w:name w:val="Hyperlink"/>
    <w:basedOn w:val="DefaultParagraphFont"/>
    <w:uiPriority w:val="99"/>
    <w:unhideWhenUsed/>
    <w:rsid w:val="00FA6185"/>
    <w:rPr>
      <w:color w:val="0000FF"/>
      <w:u w:val="single"/>
    </w:rPr>
  </w:style>
  <w:style w:type="paragraph" w:styleId="Header">
    <w:name w:val="header"/>
    <w:basedOn w:val="Normal"/>
    <w:link w:val="HeaderChar"/>
    <w:uiPriority w:val="99"/>
    <w:unhideWhenUsed/>
    <w:rsid w:val="00FA6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185"/>
  </w:style>
  <w:style w:type="paragraph" w:styleId="Footer">
    <w:name w:val="footer"/>
    <w:basedOn w:val="Normal"/>
    <w:link w:val="FooterChar"/>
    <w:uiPriority w:val="99"/>
    <w:unhideWhenUsed/>
    <w:rsid w:val="00FA6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185"/>
  </w:style>
  <w:style w:type="paragraph" w:styleId="BalloonText">
    <w:name w:val="Balloon Text"/>
    <w:basedOn w:val="Normal"/>
    <w:link w:val="BalloonTextChar"/>
    <w:uiPriority w:val="99"/>
    <w:semiHidden/>
    <w:unhideWhenUsed/>
    <w:rsid w:val="00D04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681"/>
    <w:rPr>
      <w:rFonts w:ascii="Segoe UI" w:hAnsi="Segoe UI" w:cs="Segoe UI"/>
      <w:sz w:val="18"/>
      <w:szCs w:val="18"/>
    </w:rPr>
  </w:style>
  <w:style w:type="character" w:styleId="UnresolvedMention">
    <w:name w:val="Unresolved Mention"/>
    <w:basedOn w:val="DefaultParagraphFont"/>
    <w:uiPriority w:val="99"/>
    <w:semiHidden/>
    <w:unhideWhenUsed/>
    <w:rsid w:val="00D04681"/>
    <w:rPr>
      <w:color w:val="605E5C"/>
      <w:shd w:val="clear" w:color="auto" w:fill="E1DFDD"/>
    </w:rPr>
  </w:style>
  <w:style w:type="character" w:styleId="FollowedHyperlink">
    <w:name w:val="FollowedHyperlink"/>
    <w:basedOn w:val="DefaultParagraphFont"/>
    <w:uiPriority w:val="99"/>
    <w:semiHidden/>
    <w:unhideWhenUsed/>
    <w:rsid w:val="003A70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8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id.gov/fsa-id/sign-in/landing" TargetMode="External"/><Relationship Id="rId13" Type="http://schemas.openxmlformats.org/officeDocument/2006/relationships/hyperlink" Target="https://studentaid.gov/manage-loans/forgiveness-cancellation/public-servic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nnierman@cssny.org" TargetMode="External"/><Relationship Id="rId12" Type="http://schemas.openxmlformats.org/officeDocument/2006/relationships/hyperlink" Target="https://studentaid.gov/psl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aid.gov/sites/default/files/public-service-application-for-forgiveness.pdf" TargetMode="External"/><Relationship Id="rId5" Type="http://schemas.openxmlformats.org/officeDocument/2006/relationships/footnotes" Target="footnotes.xml"/><Relationship Id="rId15" Type="http://schemas.openxmlformats.org/officeDocument/2006/relationships/hyperlink" Target="https://myfedloan.org/" TargetMode="External"/><Relationship Id="rId23" Type="http://schemas.openxmlformats.org/officeDocument/2006/relationships/theme" Target="theme/theme1.xml"/><Relationship Id="rId10" Type="http://schemas.openxmlformats.org/officeDocument/2006/relationships/hyperlink" Target="https://studentaid.gov/announcements-events/pslf-limited-waive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tudentaid.gov/manage-loans/forgiveness-cancellation/public-service/temporary-expanded-public-service-loan-forgiveness" TargetMode="External"/><Relationship Id="rId14" Type="http://schemas.openxmlformats.org/officeDocument/2006/relationships/hyperlink" Target="https://studentaid.gov/sites/default/files/public-service-application-for-forgiveness.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1767</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Nierman</dc:creator>
  <cp:keywords/>
  <dc:description/>
  <cp:lastModifiedBy>Nancy Nierman</cp:lastModifiedBy>
  <cp:revision>7</cp:revision>
  <cp:lastPrinted>2021-11-05T22:29:00Z</cp:lastPrinted>
  <dcterms:created xsi:type="dcterms:W3CDTF">2022-02-18T00:02:00Z</dcterms:created>
  <dcterms:modified xsi:type="dcterms:W3CDTF">2022-04-06T23:53:00Z</dcterms:modified>
</cp:coreProperties>
</file>